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88262F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2F" w:rsidRPr="00CC4925" w:rsidRDefault="0088262F" w:rsidP="00280360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5686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2F" w:rsidRPr="00CC4925" w:rsidRDefault="0088262F" w:rsidP="00782F5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62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CC4925">
              <w:rPr>
                <w:rFonts w:ascii="標楷體" w:eastAsia="標楷體" w:hAnsi="標楷體" w:hint="eastAsia"/>
                <w:color w:val="000000"/>
              </w:rPr>
              <w:t xml:space="preserve">件為等待提訊人犯致延遲， </w:t>
            </w:r>
            <w:r w:rsidRPr="002E377D">
              <w:rPr>
                <w:rFonts w:ascii="標楷體" w:eastAsia="標楷體" w:hAnsi="標楷體" w:hint="eastAsia"/>
                <w:color w:val="000000"/>
              </w:rPr>
              <w:t>1件為</w:t>
            </w:r>
            <w:r w:rsidRPr="002E377D">
              <w:rPr>
                <w:rFonts w:ascii="標楷體" w:eastAsia="標楷體" w:hAnsi="標楷體" w:hint="eastAsia"/>
              </w:rPr>
              <w:t>檢察官被記者拖延致遲延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2E377D">
              <w:rPr>
                <w:rFonts w:ascii="標楷體" w:eastAsia="標楷體" w:hAnsi="標楷體" w:hint="eastAsia"/>
                <w:color w:val="000000"/>
              </w:rPr>
              <w:t>1件為</w:t>
            </w:r>
            <w:proofErr w:type="gramStart"/>
            <w:r w:rsidRPr="002E377D">
              <w:rPr>
                <w:rFonts w:ascii="標楷體" w:eastAsia="標楷體" w:hAnsi="標楷體"/>
              </w:rPr>
              <w:t>代理辰股</w:t>
            </w:r>
            <w:proofErr w:type="gramEnd"/>
            <w:r w:rsidRPr="002E377D">
              <w:rPr>
                <w:rFonts w:ascii="標楷體" w:eastAsia="標楷體" w:hAnsi="標楷體"/>
              </w:rPr>
              <w:t>開庭</w:t>
            </w:r>
            <w:r w:rsidRPr="002E377D">
              <w:rPr>
                <w:rFonts w:ascii="標楷體" w:eastAsia="標楷體" w:hAnsi="標楷體" w:hint="eastAsia"/>
              </w:rPr>
              <w:t>致遲延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，</w:t>
            </w:r>
            <w:r w:rsidRPr="002E377D">
              <w:rPr>
                <w:rFonts w:ascii="標楷體" w:eastAsia="標楷體" w:hAnsi="標楷體" w:hint="eastAsia"/>
                <w:color w:val="000000"/>
              </w:rPr>
              <w:t>1件為</w:t>
            </w:r>
            <w:r w:rsidRPr="00C3749C">
              <w:rPr>
                <w:rFonts w:ascii="標楷體" w:eastAsia="標楷體" w:hAnsi="標楷體" w:hint="eastAsia"/>
              </w:rPr>
              <w:t>等候律師致遲延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2件為</w:t>
            </w:r>
            <w:r w:rsidRPr="009E79F6">
              <w:rPr>
                <w:rFonts w:ascii="標楷體" w:eastAsia="標楷體" w:hAnsi="標楷體" w:hint="eastAsia"/>
              </w:rPr>
              <w:t>偵查庭已滿，等待</w:t>
            </w:r>
            <w:proofErr w:type="gramStart"/>
            <w:r w:rsidRPr="009E79F6">
              <w:rPr>
                <w:rFonts w:ascii="標楷體" w:eastAsia="標楷體" w:hAnsi="標楷體" w:hint="eastAsia"/>
              </w:rPr>
              <w:t>偵查庭致遲延</w:t>
            </w:r>
            <w:proofErr w:type="gramEnd"/>
            <w:r w:rsidRPr="00CC492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2F" w:rsidRPr="00CC4925" w:rsidRDefault="0088262F" w:rsidP="00782F54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Pr="00CC4925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09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2F" w:rsidRPr="00CC4925" w:rsidRDefault="0088262F" w:rsidP="00782F5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件(遲延開庭理由: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88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CC4925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CC4925">
              <w:rPr>
                <w:rFonts w:ascii="標楷體" w:eastAsia="標楷體" w:hAnsi="標楷體" w:hint="eastAsia"/>
                <w:color w:val="000000"/>
              </w:rPr>
              <w:t>複雜，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件為等待提訊人犯遲延遲</w:t>
            </w:r>
            <w:r>
              <w:rPr>
                <w:rFonts w:ascii="標楷體" w:eastAsia="標楷體" w:hAnsi="標楷體" w:hint="eastAsia"/>
                <w:color w:val="000000"/>
              </w:rPr>
              <w:t>，1件為中檢法警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說錯庭</w:t>
            </w:r>
            <w:r w:rsidRPr="002E377D">
              <w:rPr>
                <w:rFonts w:ascii="標楷體" w:eastAsia="標楷體" w:hAnsi="標楷體" w:hint="eastAsia"/>
              </w:rPr>
              <w:t>致遲延</w:t>
            </w:r>
            <w:proofErr w:type="gramEnd"/>
            <w:r>
              <w:rPr>
                <w:rFonts w:ascii="標楷體" w:eastAsia="標楷體" w:hAnsi="標楷體" w:hint="eastAsia"/>
              </w:rPr>
              <w:t>，1件為法警電話通知到庭時間錯誤致遲延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2F" w:rsidRPr="00CC4925" w:rsidRDefault="0088262F" w:rsidP="00782F5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2.08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568BB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F12EF" w:rsidRDefault="007F12EF" w:rsidP="00B53C03">
            <w:r w:rsidRPr="007F12EF">
              <w:rPr>
                <w:rFonts w:hint="eastAsia"/>
              </w:rPr>
              <w:t>7</w:t>
            </w:r>
            <w:r w:rsidR="005568BB" w:rsidRPr="007F12EF">
              <w:rPr>
                <w:rFonts w:hint="eastAsia"/>
              </w:rPr>
              <w:t>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F12EF" w:rsidRDefault="007F12EF" w:rsidP="005568BB">
            <w:pPr>
              <w:ind w:firstLineChars="150" w:firstLine="360"/>
            </w:pPr>
            <w:r w:rsidRPr="007F12EF">
              <w:rPr>
                <w:rFonts w:hint="eastAsia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F12EF" w:rsidRDefault="007F12EF" w:rsidP="007F12EF">
            <w:pPr>
              <w:ind w:firstLineChars="50" w:firstLine="120"/>
              <w:rPr>
                <w:rFonts w:eastAsia="標楷體"/>
                <w:sz w:val="22"/>
              </w:rPr>
            </w:pPr>
            <w:r w:rsidRPr="007F12EF">
              <w:rPr>
                <w:rFonts w:hint="eastAsia"/>
              </w:rPr>
              <w:t>8</w:t>
            </w:r>
            <w:r w:rsidR="005568BB" w:rsidRPr="007F12EF">
              <w:t>.</w:t>
            </w:r>
            <w:r w:rsidRPr="007F12EF">
              <w:rPr>
                <w:rFonts w:hint="eastAsia"/>
              </w:rPr>
              <w:t>57</w:t>
            </w:r>
            <w:r w:rsidR="005568BB" w:rsidRPr="007F12EF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F12EF" w:rsidRDefault="005568BB" w:rsidP="00B53C03">
            <w:pPr>
              <w:ind w:firstLineChars="50" w:firstLine="120"/>
            </w:pPr>
            <w:r w:rsidRPr="007F12EF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F12EF" w:rsidRDefault="007F12EF" w:rsidP="00B53C03">
            <w:pPr>
              <w:ind w:firstLineChars="50" w:firstLine="120"/>
            </w:pPr>
            <w:r w:rsidRPr="007F12EF"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27BEC" w:rsidRDefault="005568BB" w:rsidP="00B53C03">
            <w:pPr>
              <w:jc w:val="center"/>
              <w:rPr>
                <w:rFonts w:eastAsia="標楷體"/>
                <w:sz w:val="22"/>
              </w:rPr>
            </w:pPr>
            <w:r w:rsidRPr="00727BEC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D879AF" w:rsidRDefault="005568BB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C5" w:rsidRDefault="008032C5" w:rsidP="00C12DA1">
      <w:r>
        <w:separator/>
      </w:r>
    </w:p>
  </w:endnote>
  <w:endnote w:type="continuationSeparator" w:id="0">
    <w:p w:rsidR="008032C5" w:rsidRDefault="008032C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360" w:rsidRPr="0028036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C5" w:rsidRDefault="008032C5" w:rsidP="00C12DA1">
      <w:r>
        <w:separator/>
      </w:r>
    </w:p>
  </w:footnote>
  <w:footnote w:type="continuationSeparator" w:id="0">
    <w:p w:rsidR="008032C5" w:rsidRDefault="008032C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568BB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43CA"/>
    <w:rsid w:val="00702E2E"/>
    <w:rsid w:val="007511D7"/>
    <w:rsid w:val="00752406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315A3"/>
    <w:rsid w:val="00E66EB9"/>
    <w:rsid w:val="00E70582"/>
    <w:rsid w:val="00E74324"/>
    <w:rsid w:val="00E81847"/>
    <w:rsid w:val="00EA3379"/>
    <w:rsid w:val="00EB12C2"/>
    <w:rsid w:val="00EB35C0"/>
    <w:rsid w:val="00EF1694"/>
    <w:rsid w:val="00F33F71"/>
    <w:rsid w:val="00F506AE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52</cp:revision>
  <dcterms:created xsi:type="dcterms:W3CDTF">2013-07-08T03:44:00Z</dcterms:created>
  <dcterms:modified xsi:type="dcterms:W3CDTF">2017-04-06T08:19:00Z</dcterms:modified>
</cp:coreProperties>
</file>