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06B15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06B15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E06B15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06B15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Default="00E06B15" w:rsidP="00E06B15">
            <w:pPr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Default="00E06B15" w:rsidP="00752F40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38件(未能準時開庭原因：29件為當事人遲到以致開庭延遲，8件為等待提訊人犯致延遲，1件為</w:t>
            </w:r>
            <w:r>
              <w:rPr>
                <w:rFonts w:ascii="標楷體" w:eastAsia="標楷體" w:hAnsi="標楷體" w:hint="eastAsia"/>
              </w:rPr>
              <w:t>遠距訊問致遲延。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Default="00E06B15" w:rsidP="00752F40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0.85%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Default="00E06B15" w:rsidP="00752F40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64件(遲延開庭理由:45件為當事人遲到，18件案情複雜，       1件為等待提訊人犯遲到致延遲。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Default="00E06B15" w:rsidP="00752F40">
            <w:pPr>
              <w:rPr>
                <w:color w:val="000000"/>
              </w:rPr>
            </w:pPr>
            <w:r>
              <w:rPr>
                <w:color w:val="000000"/>
              </w:rPr>
              <w:t>1.42%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A23D5" w:rsidRDefault="00EA23D5"/>
    <w:p w:rsidR="00EA23D5" w:rsidRDefault="00EA23D5">
      <w:pPr>
        <w:rPr>
          <w:rFonts w:hint="eastAsia"/>
        </w:rPr>
      </w:pPr>
    </w:p>
    <w:p w:rsidR="00E06B15" w:rsidRDefault="00E06B15">
      <w:pPr>
        <w:rPr>
          <w:rFonts w:hint="eastAsia"/>
        </w:rPr>
      </w:pPr>
    </w:p>
    <w:p w:rsidR="00E06B15" w:rsidRDefault="00E06B1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AB066D" w:rsidRDefault="00AB066D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06B15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06B15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E06B15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06B15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0F0FF3" w:rsidRDefault="00E06B15" w:rsidP="00752F40">
            <w:r w:rsidRPr="000F0FF3">
              <w:rPr>
                <w:rFonts w:hint="eastAsia"/>
              </w:rPr>
              <w:t>660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0F0FF3" w:rsidRDefault="00E06B15" w:rsidP="00752F40">
            <w:pPr>
              <w:ind w:firstLineChars="50" w:firstLine="120"/>
              <w:rPr>
                <w:rFonts w:hint="eastAsia"/>
              </w:rPr>
            </w:pPr>
            <w:r w:rsidRPr="000F0FF3">
              <w:rPr>
                <w:rFonts w:hint="eastAsia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0F0FF3" w:rsidRDefault="00E06B15" w:rsidP="00752F40">
            <w:pPr>
              <w:rPr>
                <w:rFonts w:eastAsia="標楷體" w:hint="eastAsia"/>
                <w:sz w:val="22"/>
                <w:szCs w:val="22"/>
              </w:rPr>
            </w:pPr>
            <w:r w:rsidRPr="000F0FF3">
              <w:rPr>
                <w:rFonts w:hint="eastAsia"/>
              </w:rPr>
              <w:t>9</w:t>
            </w:r>
            <w:r w:rsidRPr="000F0FF3">
              <w:t>.</w:t>
            </w:r>
            <w:r w:rsidRPr="000F0FF3">
              <w:rPr>
                <w:rFonts w:hint="eastAsia"/>
              </w:rPr>
              <w:t>24</w:t>
            </w:r>
            <w:r w:rsidRPr="000F0FF3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E235F8" w:rsidRDefault="00E06B15" w:rsidP="00752F40">
            <w:pPr>
              <w:ind w:firstLineChars="50" w:firstLine="120"/>
            </w:pPr>
            <w:r w:rsidRPr="00E235F8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E235F8" w:rsidRDefault="00E06B15" w:rsidP="00752F40">
            <w:pPr>
              <w:ind w:firstLineChars="50" w:firstLine="120"/>
              <w:rPr>
                <w:rFonts w:hint="eastAsia"/>
              </w:rPr>
            </w:pPr>
            <w:r w:rsidRPr="00E235F8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970CC3" w:rsidRDefault="00E06B15" w:rsidP="00752F4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0C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15" w:rsidRPr="00D879AF" w:rsidRDefault="00E06B15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bookmarkStart w:id="0" w:name="_GoBack"/>
            <w:bookmarkEnd w:id="0"/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59" w:rsidRDefault="00130559" w:rsidP="00C12DA1">
      <w:r>
        <w:separator/>
      </w:r>
    </w:p>
  </w:endnote>
  <w:endnote w:type="continuationSeparator" w:id="0">
    <w:p w:rsidR="00130559" w:rsidRDefault="00130559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B15" w:rsidRPr="00E06B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59" w:rsidRDefault="00130559" w:rsidP="00C12DA1">
      <w:r>
        <w:separator/>
      </w:r>
    </w:p>
  </w:footnote>
  <w:footnote w:type="continuationSeparator" w:id="0">
    <w:p w:rsidR="00130559" w:rsidRDefault="00130559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0559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57516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13515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B066D"/>
    <w:rsid w:val="00AF0D44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06B15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59</cp:revision>
  <dcterms:created xsi:type="dcterms:W3CDTF">2013-07-08T03:44:00Z</dcterms:created>
  <dcterms:modified xsi:type="dcterms:W3CDTF">2017-10-03T08:29:00Z</dcterms:modified>
</cp:coreProperties>
</file>