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DA" w:rsidRPr="000D2CDA" w:rsidRDefault="000D2CDA" w:rsidP="000D2CDA">
      <w:pPr>
        <w:jc w:val="center"/>
        <w:rPr>
          <w:b/>
          <w:sz w:val="32"/>
          <w:szCs w:val="32"/>
        </w:rPr>
      </w:pPr>
      <w:r w:rsidRPr="000D2CDA">
        <w:rPr>
          <w:rFonts w:hint="eastAsia"/>
          <w:b/>
          <w:sz w:val="32"/>
          <w:szCs w:val="32"/>
        </w:rPr>
        <w:t>未成年子女遭父母</w:t>
      </w:r>
      <w:r w:rsidRPr="000D2CDA">
        <w:rPr>
          <w:rFonts w:hint="eastAsia"/>
          <w:b/>
          <w:sz w:val="32"/>
          <w:szCs w:val="32"/>
        </w:rPr>
        <w:t>(</w:t>
      </w:r>
      <w:r w:rsidRPr="000D2CDA">
        <w:rPr>
          <w:rFonts w:hint="eastAsia"/>
          <w:b/>
          <w:sz w:val="32"/>
          <w:szCs w:val="32"/>
        </w:rPr>
        <w:t>或親屬</w:t>
      </w:r>
      <w:r w:rsidRPr="000D2CDA">
        <w:rPr>
          <w:rFonts w:hint="eastAsia"/>
          <w:b/>
          <w:sz w:val="32"/>
          <w:szCs w:val="32"/>
        </w:rPr>
        <w:t>)</w:t>
      </w:r>
      <w:proofErr w:type="gramStart"/>
      <w:r w:rsidRPr="000D2CDA">
        <w:rPr>
          <w:rFonts w:hint="eastAsia"/>
          <w:b/>
          <w:sz w:val="32"/>
          <w:szCs w:val="32"/>
        </w:rPr>
        <w:t>擅帶離家</w:t>
      </w:r>
      <w:proofErr w:type="gramEnd"/>
      <w:r w:rsidRPr="000D2CDA">
        <w:rPr>
          <w:rFonts w:hint="eastAsia"/>
          <w:b/>
          <w:sz w:val="32"/>
          <w:szCs w:val="32"/>
        </w:rPr>
        <w:t>失蹤案件協尋作業流程</w:t>
      </w:r>
    </w:p>
    <w:p w:rsidR="007F1249" w:rsidRPr="000D2CDA" w:rsidRDefault="00CB1B0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464.25pt;margin-top:339.1pt;width:.05pt;height:12.25pt;z-index:251749376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398.25pt;margin-top:339.1pt;width:.05pt;height:12.25pt;z-index:25169817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margin-left:430.55pt;margin-top:285.5pt;width:0;height:21.25pt;z-index:251697152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7.25pt;margin-top:260.1pt;width:127.35pt;height:25.4pt;z-index:251666432;mso-width-relative:margin;mso-height-relative:margin">
            <v:textbox style="mso-next-textbox:#_x0000_s1034">
              <w:txbxContent>
                <w:p w:rsidR="00AC70C5" w:rsidRPr="00BC126C" w:rsidRDefault="00AC70C5" w:rsidP="00AC70C5">
                  <w:pPr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警察機關受理報案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67.9pt;margin-top:307.3pt;width:129.3pt;height:31.8pt;z-index:251667456;mso-width-relative:margin;mso-height-relative:margin">
            <v:textbox style="mso-next-textbox:#_x0000_s1035">
              <w:txbxContent>
                <w:p w:rsidR="00AC70C5" w:rsidRPr="00EB447E" w:rsidRDefault="00AC70C5" w:rsidP="00EB447E">
                  <w:pPr>
                    <w:snapToGri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color w:val="000000"/>
                      <w:sz w:val="20"/>
                      <w:szCs w:val="20"/>
                    </w:rPr>
                    <w:t>警察機關將失蹤人口資料轉知</w:t>
                  </w:r>
                  <w:r w:rsidRPr="00EB447E">
                    <w:rPr>
                      <w:rFonts w:hint="eastAsia"/>
                      <w:sz w:val="20"/>
                      <w:szCs w:val="20"/>
                    </w:rPr>
                    <w:t>入出國及移民署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430.45pt;margin-top:241.55pt;width:.05pt;height:18.55pt;flip:x;z-index:251696128" o:connectortype="straight">
            <v:stroke endarrow="block"/>
          </v:shape>
        </w:pict>
      </w:r>
      <w:r>
        <w:rPr>
          <w:noProof/>
        </w:rPr>
        <w:pict>
          <v:shape id="_x0000_s1032" type="#_x0000_t202" style="position:absolute;margin-left:367.9pt;margin-top:210.6pt;width:125.4pt;height:30.95pt;z-index:251664384;mso-width-relative:margin;mso-height-relative:margin">
            <v:textbox style="mso-next-textbox:#_x0000_s1032">
              <w:txbxContent>
                <w:p w:rsidR="00AC70C5" w:rsidRPr="00CB1B0A" w:rsidRDefault="00CB1B0A" w:rsidP="00CB1B0A">
                  <w:pPr>
                    <w:snapToGrid w:val="0"/>
                    <w:jc w:val="distribute"/>
                    <w:rPr>
                      <w:sz w:val="18"/>
                      <w:szCs w:val="18"/>
                    </w:rPr>
                  </w:pPr>
                  <w:r w:rsidRPr="00CB1B0A">
                    <w:rPr>
                      <w:rFonts w:hint="eastAsia"/>
                      <w:sz w:val="18"/>
                      <w:szCs w:val="18"/>
                    </w:rPr>
                    <w:t>失蹤兒童少年資料管理中心</w:t>
                  </w:r>
                  <w:r w:rsidR="00C7095C" w:rsidRPr="00CB1B0A">
                    <w:rPr>
                      <w:rFonts w:hint="eastAsia"/>
                      <w:sz w:val="18"/>
                      <w:szCs w:val="18"/>
                    </w:rPr>
                    <w:t>輔導當事人</w:t>
                  </w:r>
                  <w:r w:rsidR="00AC70C5" w:rsidRPr="00CB1B0A">
                    <w:rPr>
                      <w:rFonts w:hint="eastAsia"/>
                      <w:sz w:val="18"/>
                      <w:szCs w:val="18"/>
                    </w:rPr>
                    <w:t>報案失蹤人口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margin-left:311.8pt;margin-top:455pt;width:.05pt;height:21.35pt;z-index:25169920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311.95pt;margin-top:355.6pt;width:.05pt;height:24.7pt;z-index:251695104" o:connectortype="straight">
            <v:stroke endarrow="block"/>
          </v:shape>
        </w:pict>
      </w:r>
      <w:r>
        <w:rPr>
          <w:noProof/>
        </w:rPr>
        <w:pict>
          <v:shape id="_x0000_s1039" type="#_x0000_t202" style="position:absolute;margin-left:267.35pt;margin-top:380.3pt;width:88.75pt;height:74.7pt;z-index:251671552;mso-width-relative:margin;mso-height-relative:margin">
            <v:textbox style="mso-next-textbox:#_x0000_s1039">
              <w:txbxContent>
                <w:p w:rsidR="00AC70C5" w:rsidRPr="00EB447E" w:rsidRDefault="00AC70C5" w:rsidP="00EB447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sz w:val="20"/>
                      <w:szCs w:val="20"/>
                    </w:rPr>
                    <w:t>法院通知入出國及移民署執行，並於</w:t>
                  </w:r>
                  <w:proofErr w:type="gramStart"/>
                  <w:r w:rsidRPr="00EB447E">
                    <w:rPr>
                      <w:rFonts w:hint="eastAsia"/>
                      <w:sz w:val="20"/>
                      <w:szCs w:val="20"/>
                    </w:rPr>
                    <w:t>函文載明</w:t>
                  </w:r>
                  <w:proofErr w:type="gramEnd"/>
                  <w:r w:rsidRPr="00EB447E">
                    <w:rPr>
                      <w:rFonts w:hint="eastAsia"/>
                      <w:sz w:val="20"/>
                      <w:szCs w:val="20"/>
                    </w:rPr>
                    <w:t>將該未成年子女列為禁止出</w:t>
                  </w:r>
                  <w:r w:rsidR="00BC126C" w:rsidRPr="00EB447E">
                    <w:rPr>
                      <w:sz w:val="20"/>
                      <w:szCs w:val="20"/>
                    </w:rPr>
                    <w:t>境</w:t>
                  </w:r>
                  <w:r w:rsidRPr="00EB447E">
                    <w:rPr>
                      <w:rFonts w:hint="eastAsia"/>
                      <w:sz w:val="20"/>
                      <w:szCs w:val="20"/>
                    </w:rPr>
                    <w:t>對象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67.35pt;margin-top:308pt;width:88.75pt;height:47.6pt;z-index:251670528;mso-width-relative:margin;mso-height-relative:margin">
            <v:textbox style="mso-next-textbox:#_x0000_s1038">
              <w:txbxContent>
                <w:p w:rsidR="00AC70C5" w:rsidRPr="00EB447E" w:rsidRDefault="00AC70C5" w:rsidP="00EB447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sz w:val="20"/>
                      <w:szCs w:val="20"/>
                    </w:rPr>
                    <w:t>法院核發暫時處分令，</w:t>
                  </w:r>
                  <w:r w:rsidRPr="00EB447E">
                    <w:rPr>
                      <w:sz w:val="20"/>
                      <w:szCs w:val="20"/>
                    </w:rPr>
                    <w:t>禁止未成年子女出境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margin-left:311.8pt;margin-top:269.15pt;width:.15pt;height:38.15pt;z-index:251694080" o:connectortype="straight">
            <v:stroke endarrow="block"/>
          </v:shape>
        </w:pict>
      </w:r>
      <w:r>
        <w:rPr>
          <w:noProof/>
        </w:rPr>
        <w:pict>
          <v:shape id="_x0000_s1033" type="#_x0000_t202" style="position:absolute;margin-left:269.4pt;margin-top:210.5pt;width:88.8pt;height:58.65pt;z-index:251665408;mso-width-relative:margin;mso-height-relative:margin">
            <v:textbox style="mso-next-textbox:#_x0000_s1033">
              <w:txbxContent>
                <w:p w:rsidR="00AC70C5" w:rsidRPr="00EB447E" w:rsidRDefault="00CB1B0A" w:rsidP="00CB1B0A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0D2CDA">
                    <w:rPr>
                      <w:rFonts w:hint="eastAsia"/>
                      <w:sz w:val="20"/>
                      <w:szCs w:val="20"/>
                    </w:rPr>
                    <w:t>失蹤兒童少年資料管理中心</w:t>
                  </w:r>
                  <w:r w:rsidR="00C7095C">
                    <w:rPr>
                      <w:rFonts w:hint="eastAsia"/>
                      <w:sz w:val="20"/>
                      <w:szCs w:val="20"/>
                    </w:rPr>
                    <w:t>輔導當事人</w:t>
                  </w:r>
                  <w:r w:rsidR="00AC70C5" w:rsidRPr="00EB447E">
                    <w:rPr>
                      <w:rFonts w:hint="eastAsia"/>
                      <w:sz w:val="20"/>
                      <w:szCs w:val="20"/>
                    </w:rPr>
                    <w:t>聲請暫時處分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09" type="#_x0000_t32" style="position:absolute;margin-left:236.2pt;margin-top:257pt;width:0;height:51.25pt;z-index:251742208" o:connectortype="straight">
            <v:stroke endarrow="block"/>
          </v:shape>
        </w:pict>
      </w:r>
      <w:r w:rsidR="00484E16">
        <w:rPr>
          <w:noProof/>
        </w:rPr>
        <w:pict>
          <v:shape id="_x0000_s1059" type="#_x0000_t202" style="position:absolute;margin-left:211.25pt;margin-top:308.25pt;width:47.15pt;height:103.95pt;z-index:251692032;mso-width-relative:margin;mso-height-relative:margin">
            <v:textbox style="mso-next-textbox:#_x0000_s1059">
              <w:txbxContent>
                <w:p w:rsidR="00EB447E" w:rsidRPr="00EB447E" w:rsidRDefault="00EB447E" w:rsidP="0055640D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依</w:t>
                  </w:r>
                  <w:r w:rsidR="0055640D">
                    <w:rPr>
                      <w:rFonts w:hint="eastAsia"/>
                      <w:sz w:val="20"/>
                      <w:szCs w:val="20"/>
                    </w:rPr>
                    <w:t>現行各</w:t>
                  </w:r>
                  <w:r w:rsidR="00D46A23">
                    <w:rPr>
                      <w:rFonts w:hint="eastAsia"/>
                      <w:sz w:val="20"/>
                      <w:szCs w:val="20"/>
                    </w:rPr>
                    <w:t>相關</w:t>
                  </w:r>
                  <w:r w:rsidR="0055640D">
                    <w:rPr>
                      <w:rFonts w:hint="eastAsia"/>
                      <w:sz w:val="20"/>
                      <w:szCs w:val="20"/>
                    </w:rPr>
                    <w:t>部會跨境</w:t>
                  </w:r>
                  <w:r w:rsidR="00EA655A">
                    <w:rPr>
                      <w:rFonts w:hint="eastAsia"/>
                      <w:sz w:val="20"/>
                      <w:szCs w:val="20"/>
                    </w:rPr>
                    <w:t>涉訟</w:t>
                  </w:r>
                  <w:r w:rsidR="0055640D">
                    <w:rPr>
                      <w:rFonts w:hint="eastAsia"/>
                      <w:sz w:val="20"/>
                      <w:szCs w:val="20"/>
                    </w:rPr>
                    <w:t>案件處理程序辦理</w:t>
                  </w:r>
                  <w:r w:rsidR="00B207EB">
                    <w:rPr>
                      <w:rFonts w:hint="eastAsia"/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96" type="#_x0000_t32" style="position:absolute;margin-left:221.85pt;margin-top:108.6pt;width:.05pt;height:26.55pt;z-index:251728896" o:connectortype="straight"/>
        </w:pict>
      </w:r>
      <w:r w:rsidR="00484E16">
        <w:rPr>
          <w:noProof/>
        </w:rPr>
        <w:pict>
          <v:shape id="_x0000_s1060" type="#_x0000_t32" style="position:absolute;margin-left:221.85pt;margin-top:37.45pt;width:.05pt;height:45.2pt;z-index:251693056" o:connectortype="straight">
            <v:stroke endarrow="block"/>
          </v:shape>
        </w:pict>
      </w:r>
      <w:r w:rsidR="00484E16">
        <w:rPr>
          <w:noProof/>
        </w:rPr>
        <w:pict>
          <v:shape id="_x0000_s1107" type="#_x0000_t32" style="position:absolute;margin-left:104.8pt;margin-top:289.3pt;width:.05pt;height:18pt;z-index:251740160" o:connectortype="straight">
            <v:stroke endarrow="block"/>
          </v:shape>
        </w:pict>
      </w:r>
      <w:r w:rsidR="00484E16">
        <w:rPr>
          <w:noProof/>
        </w:rPr>
        <w:pict>
          <v:shape id="_x0000_s1108" type="#_x0000_t32" style="position:absolute;margin-left:174.4pt;margin-top:289.3pt;width:0;height:18.95pt;z-index:251741184" o:connectortype="straight">
            <v:stroke endarrow="block"/>
          </v:shape>
        </w:pict>
      </w:r>
      <w:r w:rsidR="00484E16">
        <w:rPr>
          <w:noProof/>
        </w:rPr>
        <w:pict>
          <v:shape id="_x0000_s1040" type="#_x0000_t202" style="position:absolute;margin-left:267.75pt;margin-top:476.35pt;width:88.35pt;height:44.4pt;z-index:251672576;mso-width-relative:margin;mso-height-relative:margin">
            <v:textbox style="mso-next-textbox:#_x0000_s1040">
              <w:txbxContent>
                <w:p w:rsidR="00AC70C5" w:rsidRPr="00EB447E" w:rsidRDefault="00AC70C5" w:rsidP="00EB447E">
                  <w:pPr>
                    <w:snapToGri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sz w:val="20"/>
                      <w:szCs w:val="20"/>
                    </w:rPr>
                    <w:t>入出國及移民署</w:t>
                  </w:r>
                  <w:r w:rsidRPr="00EB447E">
                    <w:rPr>
                      <w:rFonts w:hint="eastAsia"/>
                      <w:color w:val="000000"/>
                      <w:sz w:val="20"/>
                      <w:szCs w:val="20"/>
                    </w:rPr>
                    <w:t>配合執行國境管制作業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19" type="#_x0000_t32" style="position:absolute;margin-left:464.2pt;margin-top:397pt;width:.05pt;height:91.75pt;z-index:251751424" o:connectortype="straight">
            <v:stroke endarrow="block"/>
          </v:shape>
        </w:pict>
      </w:r>
      <w:r w:rsidR="00484E16">
        <w:rPr>
          <w:noProof/>
        </w:rPr>
        <w:pict>
          <v:shape id="_x0000_s1118" type="#_x0000_t202" style="position:absolute;margin-left:432.5pt;margin-top:351.35pt;width:63.15pt;height:45.65pt;z-index:251750400;mso-width-relative:margin;mso-height-relative:margin">
            <v:textbox style="mso-next-textbox:#_x0000_s1118">
              <w:txbxContent>
                <w:p w:rsidR="007C313B" w:rsidRPr="00EB447E" w:rsidRDefault="00C7095C" w:rsidP="007C313B">
                  <w:pPr>
                    <w:snapToGri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警察機關查獲該未成年子女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58" type="#_x0000_t202" style="position:absolute;margin-left:209.2pt;margin-top:520.75pt;width:290.4pt;height:192pt;z-index:251691008;mso-width-relative:margin;mso-height-relative:margin" filled="f" stroked="f">
            <v:textbox style="mso-next-textbox:#_x0000_s1058">
              <w:txbxContent>
                <w:p w:rsidR="00B207EB" w:rsidRPr="00112B6C" w:rsidRDefault="00B207EB" w:rsidP="00B207EB">
                  <w:pPr>
                    <w:snapToGrid w:val="0"/>
                    <w:ind w:left="708" w:hangingChars="354" w:hanging="708"/>
                    <w:jc w:val="both"/>
                    <w:rPr>
                      <w:rFonts w:asciiTheme="minorEastAsia" w:hAnsiTheme="minorEastAsia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備註</w:t>
                  </w:r>
                  <w:r>
                    <w:rPr>
                      <w:rFonts w:hint="eastAsia"/>
                      <w:sz w:val="20"/>
                      <w:szCs w:val="20"/>
                    </w:rPr>
                    <w:t>1: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失蹤兒童少年資料管理中心</w:t>
                  </w:r>
                  <w:r w:rsidRPr="00112B6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服務項目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包含</w:t>
                  </w:r>
                  <w:r w:rsidRPr="00112B6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案件通報及管理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 w:rsidRPr="00112B6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案件進度追蹤與協尋</w:t>
                  </w:r>
                  <w:r w:rsidR="00BF3A8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 w:rsidR="00BF3A8A" w:rsidRPr="00112B6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諮</w:t>
                  </w:r>
                  <w:r w:rsidR="00BF3A8A" w:rsidRPr="00112B6C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商心理輔導</w:t>
                  </w:r>
                  <w:r w:rsidR="00BF3A8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 w:rsidR="00BF3A8A" w:rsidRPr="00112B6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諮</w:t>
                  </w:r>
                  <w:r w:rsidR="00BF3A8A" w:rsidRPr="00112B6C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詢服務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 w:rsidRPr="00112B6C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資源連結與轉介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。</w:t>
                  </w:r>
                </w:p>
                <w:p w:rsidR="00EB447E" w:rsidRPr="0055640D" w:rsidRDefault="00EB447E" w:rsidP="0055640D">
                  <w:pPr>
                    <w:snapToGrid w:val="0"/>
                    <w:ind w:left="708" w:hangingChars="354" w:hanging="708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55640D">
                    <w:rPr>
                      <w:rFonts w:hint="eastAsia"/>
                      <w:sz w:val="20"/>
                      <w:szCs w:val="20"/>
                    </w:rPr>
                    <w:t>備註</w:t>
                  </w:r>
                  <w:r w:rsidR="00B207EB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Pr="0055640D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55640D">
                    <w:rPr>
                      <w:rFonts w:hint="eastAsia"/>
                      <w:sz w:val="20"/>
                      <w:szCs w:val="20"/>
                    </w:rPr>
                    <w:t>入出國及移民署通知</w:t>
                  </w: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航空</w:t>
                  </w: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港務</w:t>
                  </w: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警局後，各該單位之工作人員應</w:t>
                  </w:r>
                  <w:r w:rsidR="00D46A2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尊重</w:t>
                  </w: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當事人人身自由</w:t>
                  </w:r>
                  <w:r w:rsidR="00D46A2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，並於</w:t>
                  </w: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不影響航班正常起降之原則下處理。</w:t>
                  </w:r>
                </w:p>
                <w:p w:rsidR="00031BFD" w:rsidRPr="0055640D" w:rsidRDefault="00031BFD" w:rsidP="0055640D">
                  <w:pPr>
                    <w:snapToGrid w:val="0"/>
                    <w:ind w:left="708" w:hangingChars="354" w:hanging="708"/>
                    <w:jc w:val="both"/>
                    <w:rPr>
                      <w:sz w:val="20"/>
                      <w:szCs w:val="20"/>
                    </w:rPr>
                  </w:pPr>
                  <w:r w:rsidRPr="0055640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備註</w:t>
                  </w:r>
                  <w:r w:rsidR="00B207E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55640D"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31BFD" w:rsidRPr="00B207EB" w:rsidRDefault="00031BFD" w:rsidP="0055640D">
                  <w:pPr>
                    <w:pStyle w:val="a3"/>
                    <w:snapToGrid w:val="0"/>
                    <w:ind w:left="284" w:hangingChars="142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640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1)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入境與我國簽署司法互助協議國家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地區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="00B207EB" w:rsidRPr="00B207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207EB" w:rsidRPr="00B207EB">
                    <w:rPr>
                      <w:rFonts w:ascii="Arial" w:hAnsi="Arial" w:cs="Arial"/>
                      <w:sz w:val="20"/>
                      <w:szCs w:val="20"/>
                    </w:rPr>
                    <w:t>之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案件，由法務部轉請該國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地區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依協議內容協助調查取證。</w:t>
                  </w:r>
                </w:p>
                <w:p w:rsidR="00031BFD" w:rsidRPr="00B207EB" w:rsidRDefault="00031BFD" w:rsidP="0055640D">
                  <w:pPr>
                    <w:snapToGrid w:val="0"/>
                    <w:ind w:left="284" w:hangingChars="142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(2)</w:t>
                  </w:r>
                  <w:r w:rsidRPr="00B207EB">
                    <w:rPr>
                      <w:rFonts w:ascii="Arial" w:cs="Arial"/>
                      <w:sz w:val="20"/>
                      <w:szCs w:val="20"/>
                    </w:rPr>
                    <w:t>入境與我國無</w:t>
                  </w:r>
                  <w:r w:rsidR="00B207EB">
                    <w:rPr>
                      <w:rFonts w:ascii="Arial" w:cs="Arial"/>
                      <w:kern w:val="0"/>
                      <w:sz w:val="20"/>
                      <w:szCs w:val="20"/>
                    </w:rPr>
                    <w:t>司法互助協議</w:t>
                  </w:r>
                  <w:r w:rsidRPr="00B207EB">
                    <w:rPr>
                      <w:rFonts w:ascii="Arial" w:cs="Arial"/>
                      <w:kern w:val="0"/>
                      <w:sz w:val="20"/>
                      <w:szCs w:val="20"/>
                    </w:rPr>
                    <w:t>國家</w:t>
                  </w:r>
                  <w:r w:rsidR="00B207EB" w:rsidRPr="00B207EB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之</w:t>
                  </w:r>
                  <w:r w:rsidRPr="00B207EB">
                    <w:rPr>
                      <w:rFonts w:ascii="Arial" w:cs="Arial"/>
                      <w:kern w:val="0"/>
                      <w:sz w:val="20"/>
                      <w:szCs w:val="20"/>
                    </w:rPr>
                    <w:t>案件，由</w:t>
                  </w:r>
                  <w:r w:rsidR="0055640D" w:rsidRPr="00B207EB">
                    <w:rPr>
                      <w:rFonts w:ascii="Arial" w:cs="Arial"/>
                      <w:kern w:val="0"/>
                      <w:sz w:val="20"/>
                      <w:szCs w:val="20"/>
                    </w:rPr>
                    <w:t>法院、檢察署或法務部</w:t>
                  </w:r>
                  <w:r w:rsidR="00BF3A8A" w:rsidRPr="00B207EB">
                    <w:rPr>
                      <w:rFonts w:ascii="Arial" w:hAnsi="Arial" w:cs="Arial"/>
                      <w:sz w:val="20"/>
                      <w:szCs w:val="20"/>
                    </w:rPr>
                    <w:t>另</w:t>
                  </w:r>
                  <w:r w:rsidR="0055640D" w:rsidRPr="00B207EB">
                    <w:rPr>
                      <w:rFonts w:ascii="Arial" w:cs="Arial"/>
                      <w:kern w:val="0"/>
                      <w:sz w:val="20"/>
                      <w:szCs w:val="20"/>
                    </w:rPr>
                    <w:t>轉請</w:t>
                  </w:r>
                  <w:r w:rsidRPr="00B207EB">
                    <w:rPr>
                      <w:rFonts w:ascii="Arial" w:cs="Arial"/>
                      <w:kern w:val="0"/>
                      <w:sz w:val="20"/>
                      <w:szCs w:val="20"/>
                    </w:rPr>
                    <w:t>外交部</w:t>
                  </w:r>
                  <w:r w:rsidR="0055640D" w:rsidRPr="00B207EB">
                    <w:rPr>
                      <w:rFonts w:ascii="Arial" w:cs="Arial"/>
                      <w:sz w:val="20"/>
                      <w:szCs w:val="20"/>
                    </w:rPr>
                    <w:t>函請該國</w:t>
                  </w:r>
                  <w:r w:rsidR="0055640D" w:rsidRPr="00B207EB">
                    <w:rPr>
                      <w:rFonts w:ascii="Arial" w:hAnsi="新細明體" w:cs="Arial"/>
                      <w:sz w:val="20"/>
                      <w:szCs w:val="20"/>
                    </w:rPr>
                    <w:t>駐外代表處，請其司法機關基於互惠原則協處。</w:t>
                  </w:r>
                </w:p>
                <w:p w:rsidR="0055640D" w:rsidRPr="0055640D" w:rsidRDefault="0055640D" w:rsidP="0055640D">
                  <w:pPr>
                    <w:snapToGrid w:val="0"/>
                    <w:ind w:left="284" w:hangingChars="142" w:hanging="284"/>
                    <w:jc w:val="both"/>
                    <w:rPr>
                      <w:sz w:val="20"/>
                      <w:szCs w:val="20"/>
                    </w:rPr>
                  </w:pPr>
                  <w:r w:rsidRPr="00B207EB">
                    <w:rPr>
                      <w:rFonts w:ascii="Arial" w:hAnsi="Arial" w:cs="Arial"/>
                      <w:sz w:val="20"/>
                      <w:szCs w:val="20"/>
                    </w:rPr>
                    <w:t>(3)</w:t>
                  </w:r>
                  <w:r w:rsidRPr="00B207EB">
                    <w:rPr>
                      <w:rFonts w:ascii="Arial" w:hAnsi="新細明體" w:cs="Arial"/>
                      <w:sz w:val="20"/>
                      <w:szCs w:val="20"/>
                    </w:rPr>
                    <w:t>入境香港或澳門地區</w:t>
                  </w:r>
                  <w:r w:rsidR="00B207EB" w:rsidRPr="00B207EB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之</w:t>
                  </w:r>
                  <w:r w:rsidRPr="00B207EB">
                    <w:rPr>
                      <w:rFonts w:ascii="Arial" w:hAnsi="新細明體" w:cs="Arial"/>
                      <w:sz w:val="20"/>
                      <w:szCs w:val="20"/>
                    </w:rPr>
                    <w:t>案件，由</w:t>
                  </w:r>
                  <w:r w:rsidRPr="00B207EB">
                    <w:rPr>
                      <w:rFonts w:ascii="Arial" w:cs="Arial"/>
                      <w:sz w:val="20"/>
                      <w:szCs w:val="20"/>
                    </w:rPr>
                    <w:t>大陸委員會函請香港事務局或澳</w:t>
                  </w:r>
                  <w:r w:rsidRPr="0055640D">
                    <w:rPr>
                      <w:rFonts w:hint="eastAsia"/>
                      <w:sz w:val="20"/>
                      <w:szCs w:val="20"/>
                    </w:rPr>
                    <w:t>門事務處，請香港或澳門政府相關機關協處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37" type="#_x0000_t202" style="position:absolute;margin-left:367.25pt;margin-top:488.75pt;width:132.35pt;height:32pt;z-index:251669504;mso-width-relative:margin;mso-height-relative:margin">
            <v:textbox style="mso-next-textbox:#_x0000_s1037">
              <w:txbxContent>
                <w:p w:rsidR="00AC70C5" w:rsidRPr="00EB447E" w:rsidRDefault="00AC70C5" w:rsidP="00EB447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警</w:t>
                  </w:r>
                  <w:r w:rsidR="007C313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察</w:t>
                  </w:r>
                  <w:r w:rsidR="00CB1B0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機關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依「失蹤人口查尋作業要點」相關規定辦理</w:t>
                  </w:r>
                  <w:r w:rsidR="00B207EB">
                    <w:rPr>
                      <w:rFonts w:hint="eastAsia"/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67" type="#_x0000_t32" style="position:absolute;margin-left:398.25pt;margin-top:474.75pt;width:0;height:14.2pt;z-index:251700224" o:connectortype="straight">
            <v:stroke endarrow="block"/>
          </v:shape>
        </w:pict>
      </w:r>
      <w:r w:rsidR="00484E16">
        <w:rPr>
          <w:noProof/>
        </w:rPr>
        <w:pict>
          <v:shape id="_x0000_s1036" type="#_x0000_t202" style="position:absolute;margin-left:367.25pt;margin-top:351.35pt;width:63.15pt;height:123.4pt;z-index:251668480;mso-width-relative:margin;mso-height-relative:margin">
            <v:textbox style="mso-next-textbox:#_x0000_s1036">
              <w:txbxContent>
                <w:p w:rsidR="00AC70C5" w:rsidRPr="00EB447E" w:rsidRDefault="00AC70C5" w:rsidP="00EB447E">
                  <w:pPr>
                    <w:snapToGri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sz w:val="20"/>
                      <w:szCs w:val="20"/>
                    </w:rPr>
                    <w:t>入出國及移民署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國境線查驗人員查獲該未成年子女欲出境，立即通知航空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港務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警</w:t>
                  </w:r>
                  <w:r w:rsidR="007C313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察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局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89" type="#_x0000_t32" style="position:absolute;margin-left:430.4pt;margin-top:183.15pt;width:.05pt;height:26.1pt;flip:x;z-index:251721728" o:connectortype="straight">
            <v:stroke endarrow="block"/>
          </v:shape>
        </w:pict>
      </w:r>
      <w:r w:rsidR="00484E16">
        <w:rPr>
          <w:noProof/>
        </w:rPr>
        <w:pict>
          <v:shape id="_x0000_s1029" type="#_x0000_t202" style="position:absolute;margin-left:221.9pt;margin-top:107.2pt;width:267.5pt;height:27.95pt;z-index:251661312;mso-width-relative:margin;mso-height-relative:margin" filled="f" stroked="f">
            <v:stroke dashstyle="dash"/>
            <v:textbox style="mso-next-textbox:#_x0000_s1029">
              <w:txbxContent>
                <w:p w:rsidR="00AC70C5" w:rsidRPr="00EB447E" w:rsidRDefault="00AC70C5" w:rsidP="00AC70C5">
                  <w:pPr>
                    <w:snapToGri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B447E">
                    <w:rPr>
                      <w:rFonts w:hint="eastAsia"/>
                      <w:color w:val="000000"/>
                      <w:sz w:val="16"/>
                      <w:szCs w:val="16"/>
                    </w:rPr>
                    <w:t>倘該未成年子女無法確認出境與否，由衛生福利部協助向入出國</w:t>
                  </w:r>
                  <w:r w:rsidR="00CB1B0A">
                    <w:rPr>
                      <w:rFonts w:hint="eastAsia"/>
                      <w:color w:val="000000"/>
                      <w:sz w:val="16"/>
                      <w:szCs w:val="16"/>
                    </w:rPr>
                    <w:t>及</w:t>
                  </w:r>
                  <w:r w:rsidRPr="00EB447E">
                    <w:rPr>
                      <w:rFonts w:hint="eastAsia"/>
                      <w:color w:val="000000"/>
                      <w:sz w:val="16"/>
                      <w:szCs w:val="16"/>
                    </w:rPr>
                    <w:t>移民署查詢其出境紀錄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27" type="#_x0000_t202" style="position:absolute;margin-left:221.85pt;margin-top:36.35pt;width:265pt;height:50.15pt;z-index:251659264;mso-width-relative:margin;mso-height-relative:margin" filled="f" stroked="f">
            <v:stroke dashstyle="dash"/>
            <v:textbox style="mso-next-textbox:#_x0000_s1027">
              <w:txbxContent>
                <w:p w:rsidR="000D2CDA" w:rsidRPr="00D46A23" w:rsidRDefault="000D2CDA" w:rsidP="00D46A23">
                  <w:pPr>
                    <w:snapToGrid w:val="0"/>
                    <w:spacing w:line="200" w:lineRule="exact"/>
                    <w:ind w:left="94" w:hangingChars="59" w:hanging="94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6A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</w:t>
                  </w:r>
                  <w:r w:rsidRPr="00D46A23">
                    <w:rPr>
                      <w:rFonts w:ascii="Arial" w:hAnsiTheme="minorEastAsia" w:cs="Arial"/>
                      <w:color w:val="000000"/>
                      <w:sz w:val="16"/>
                      <w:szCs w:val="16"/>
                    </w:rPr>
                    <w:t>各該單位</w:t>
                  </w:r>
                  <w:r w:rsidRPr="00D46A23">
                    <w:rPr>
                      <w:rFonts w:ascii="Arial" w:hAnsiTheme="minorEastAsia" w:cs="Arial"/>
                      <w:sz w:val="16"/>
                      <w:szCs w:val="16"/>
                    </w:rPr>
                    <w:t>得</w:t>
                  </w:r>
                  <w:r w:rsidRPr="00D46A23">
                    <w:rPr>
                      <w:rFonts w:ascii="Arial" w:hAnsiTheme="minorEastAsia" w:cs="Arial"/>
                      <w:color w:val="000000"/>
                      <w:sz w:val="16"/>
                      <w:szCs w:val="16"/>
                    </w:rPr>
                    <w:t>自行填寫通報表後，以傳真、電子郵件等方式傳送</w:t>
                  </w:r>
                  <w:r w:rsidRPr="00D46A23">
                    <w:rPr>
                      <w:rFonts w:ascii="Arial" w:hAnsiTheme="minorEastAsia" w:cs="Arial"/>
                      <w:sz w:val="16"/>
                      <w:szCs w:val="16"/>
                    </w:rPr>
                    <w:t>失蹤兒童少年資料管理中心</w:t>
                  </w:r>
                  <w:r w:rsidR="00DB6E0B" w:rsidRPr="00D46A23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D46A23" w:rsidRPr="00D46A23">
                    <w:rPr>
                      <w:rFonts w:ascii="Arial" w:hAnsiTheme="minorEastAsia" w:cs="Arial"/>
                      <w:sz w:val="16"/>
                      <w:szCs w:val="16"/>
                    </w:rPr>
                    <w:t>電話</w:t>
                  </w:r>
                  <w:r w:rsidR="00D46A23" w:rsidRPr="00D46A23">
                    <w:rPr>
                      <w:rFonts w:ascii="Arial" w:hAnsi="Arial" w:cs="Arial"/>
                      <w:sz w:val="16"/>
                      <w:szCs w:val="16"/>
                    </w:rPr>
                    <w:t>:0</w:t>
                  </w:r>
                  <w:r w:rsidR="00DB6E0B" w:rsidRPr="00D46A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4-22265905</w:t>
                  </w:r>
                  <w:r w:rsidR="00D46A23" w:rsidRPr="00D46A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;</w:t>
                  </w:r>
                  <w:r w:rsidR="00D46A23" w:rsidRPr="00D46A23">
                    <w:rPr>
                      <w:rFonts w:ascii="Arial" w:hAnsiTheme="minorEastAsia" w:cs="Arial"/>
                      <w:color w:val="000000"/>
                      <w:sz w:val="16"/>
                      <w:szCs w:val="16"/>
                    </w:rPr>
                    <w:t>傳真</w:t>
                  </w:r>
                  <w:r w:rsidR="00D46A23" w:rsidRPr="00D46A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:04-22202312</w:t>
                  </w:r>
                  <w:r w:rsidR="00D46A23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)</w:t>
                  </w:r>
                </w:p>
                <w:p w:rsidR="000D2CDA" w:rsidRPr="00D46A23" w:rsidRDefault="000D2CDA" w:rsidP="00D46A23">
                  <w:pPr>
                    <w:snapToGrid w:val="0"/>
                    <w:spacing w:line="200" w:lineRule="exact"/>
                    <w:ind w:left="94" w:hangingChars="59" w:hanging="94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6A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</w:t>
                  </w:r>
                  <w:r w:rsidRPr="00D46A23">
                    <w:rPr>
                      <w:rFonts w:ascii="Arial" w:hAnsiTheme="minorEastAsia" w:cs="Arial"/>
                      <w:sz w:val="16"/>
                      <w:szCs w:val="16"/>
                    </w:rPr>
                    <w:t>失蹤兒童少年資料管理中心如接獲民眾或</w:t>
                  </w:r>
                  <w:r w:rsidRPr="00D46A23">
                    <w:rPr>
                      <w:rFonts w:ascii="Arial" w:hAnsiTheme="minorEastAsia" w:cs="Arial"/>
                      <w:color w:val="000000"/>
                      <w:sz w:val="16"/>
                      <w:szCs w:val="16"/>
                    </w:rPr>
                    <w:t>各該單位</w:t>
                  </w:r>
                  <w:r w:rsidRPr="00D46A23">
                    <w:rPr>
                      <w:rFonts w:ascii="Arial" w:hAnsiTheme="minorEastAsia" w:cs="Arial"/>
                      <w:sz w:val="16"/>
                      <w:szCs w:val="16"/>
                    </w:rPr>
                    <w:t>諮詢，亦得自行填寫</w:t>
                  </w:r>
                  <w:r w:rsidRPr="00D46A23">
                    <w:rPr>
                      <w:rFonts w:ascii="Arial" w:hAnsiTheme="minorEastAsia" w:cs="Arial"/>
                      <w:color w:val="000000"/>
                      <w:sz w:val="16"/>
                      <w:szCs w:val="16"/>
                    </w:rPr>
                    <w:t>通報表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26" type="#_x0000_t202" style="position:absolute;margin-left:8.6pt;margin-top:2.9pt;width:478.25pt;height:34pt;z-index:251658240;mso-height-percent:200;mso-height-percent:200;mso-width-relative:margin;mso-height-relative:margin">
            <v:textbox style="mso-next-textbox:#_x0000_s1026;mso-fit-shape-to-text:t">
              <w:txbxContent>
                <w:p w:rsidR="000D2CDA" w:rsidRPr="000D2CDA" w:rsidRDefault="000D2CDA" w:rsidP="000D2CDA">
                  <w:pPr>
                    <w:snapToGrid w:val="0"/>
                    <w:jc w:val="distribute"/>
                    <w:rPr>
                      <w:sz w:val="20"/>
                      <w:szCs w:val="20"/>
                    </w:rPr>
                  </w:pPr>
                  <w:r w:rsidRPr="000D2CDA">
                    <w:rPr>
                      <w:rFonts w:hint="eastAsia"/>
                      <w:sz w:val="20"/>
                      <w:szCs w:val="20"/>
                    </w:rPr>
                    <w:t>民眾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當事人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)/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民間機構團體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地方政府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其他政府單位</w:t>
                  </w:r>
                </w:p>
                <w:p w:rsidR="000D2CDA" w:rsidRPr="000D2CDA" w:rsidRDefault="000D2CDA" w:rsidP="000D2CDA">
                  <w:pPr>
                    <w:snapToGrid w:val="0"/>
                    <w:jc w:val="distribute"/>
                    <w:rPr>
                      <w:sz w:val="20"/>
                      <w:szCs w:val="20"/>
                    </w:rPr>
                  </w:pPr>
                  <w:r w:rsidRPr="000D2CDA">
                    <w:rPr>
                      <w:rFonts w:hint="eastAsia"/>
                      <w:sz w:val="20"/>
                      <w:szCs w:val="20"/>
                    </w:rPr>
                    <w:t>知悉有未成年子女遭父母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或親屬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擅帶離家失蹤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28" type="#_x0000_t202" style="position:absolute;margin-left:8.6pt;margin-top:81.9pt;width:480.4pt;height:25.95pt;z-index:251660288;mso-height-percent:200;mso-height-percent:200;mso-width-relative:margin;mso-height-relative:margin">
            <v:textbox style="mso-next-textbox:#_x0000_s1028;mso-fit-shape-to-text:t">
              <w:txbxContent>
                <w:p w:rsidR="000D2CDA" w:rsidRPr="000D2CDA" w:rsidRDefault="000D2CDA" w:rsidP="000D2CDA">
                  <w:pPr>
                    <w:jc w:val="distribute"/>
                    <w:rPr>
                      <w:sz w:val="20"/>
                      <w:szCs w:val="20"/>
                    </w:rPr>
                  </w:pPr>
                  <w:r w:rsidRPr="000D2CDA">
                    <w:rPr>
                      <w:rFonts w:hint="eastAsia"/>
                      <w:sz w:val="20"/>
                      <w:szCs w:val="20"/>
                    </w:rPr>
                    <w:t>衛生福利部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失蹤兒童少年資料管理中心</w:t>
                  </w:r>
                  <w:r w:rsidR="00B207EB" w:rsidRPr="00EB447E">
                    <w:rPr>
                      <w:rFonts w:hint="eastAsia"/>
                      <w:color w:val="000000" w:themeColor="text1"/>
                      <w:sz w:val="20"/>
                      <w:szCs w:val="20"/>
                      <w:vertAlign w:val="superscript"/>
                    </w:rPr>
                    <w:t>1</w:t>
                  </w:r>
                  <w:r w:rsidRPr="000D2CDA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31" type="#_x0000_t202" style="position:absolute;margin-left:269.7pt;margin-top:158.5pt;width:222.1pt;height:24.6pt;z-index:251663360;mso-width-relative:margin;mso-height-relative:margin">
            <v:textbox style="mso-next-textbox:#_x0000_s1031">
              <w:txbxContent>
                <w:p w:rsidR="00AC70C5" w:rsidRPr="00EB447E" w:rsidRDefault="00AC70C5" w:rsidP="00AC70C5">
                  <w:pPr>
                    <w:jc w:val="distribute"/>
                    <w:rPr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sz w:val="20"/>
                      <w:szCs w:val="20"/>
                    </w:rPr>
                    <w:t>該未成年子女未出境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05" type="#_x0000_t32" style="position:absolute;margin-left:173.8pt;margin-top:353.95pt;width:.05pt;height:19pt;z-index:251738112" o:connectortype="straight">
            <v:stroke endarrow="block"/>
          </v:shape>
        </w:pict>
      </w:r>
      <w:r w:rsidR="00484E16">
        <w:rPr>
          <w:noProof/>
        </w:rPr>
        <w:pict>
          <v:shape id="_x0000_s1046" type="#_x0000_t202" style="position:absolute;margin-left:143.35pt;margin-top:308.25pt;width:62.25pt;height:45.7pt;z-index:251678720;mso-width-relative:margin;mso-height-relative:margin">
            <v:textbox style="mso-next-textbox:#_x0000_s1046">
              <w:txbxContent>
                <w:p w:rsidR="00BC126C" w:rsidRPr="00BC126C" w:rsidRDefault="007C313B" w:rsidP="00BC126C">
                  <w:pPr>
                    <w:snapToGri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D2CDA">
                    <w:rPr>
                      <w:rFonts w:hint="eastAsia"/>
                      <w:sz w:val="20"/>
                      <w:szCs w:val="20"/>
                    </w:rPr>
                    <w:t>衛生福利部</w:t>
                  </w:r>
                  <w:r w:rsidR="00BC126C" w:rsidRPr="00BC126C">
                    <w:rPr>
                      <w:rFonts w:hint="eastAsia"/>
                      <w:sz w:val="20"/>
                      <w:szCs w:val="20"/>
                    </w:rPr>
                    <w:t>函知</w:t>
                  </w:r>
                  <w:r w:rsidR="00BC126C" w:rsidRPr="00BC126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外交部協處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01" type="#_x0000_t32" style="position:absolute;margin-left:104.8pt;margin-top:470pt;width:.05pt;height:30.15pt;z-index:251734016" o:connectortype="straight">
            <v:stroke endarrow="block"/>
          </v:shape>
        </w:pict>
      </w:r>
      <w:r w:rsidR="00484E16">
        <w:rPr>
          <w:noProof/>
        </w:rPr>
        <w:pict>
          <v:shape id="_x0000_s1104" type="#_x0000_t32" style="position:absolute;margin-left:104.8pt;margin-top:368.25pt;width:.05pt;height:28.25pt;z-index:251737088" o:connectortype="straight">
            <v:stroke endarrow="block"/>
          </v:shape>
        </w:pict>
      </w:r>
      <w:r w:rsidR="00484E16">
        <w:rPr>
          <w:noProof/>
        </w:rPr>
        <w:pict>
          <v:shape id="_x0000_s1051" type="#_x0000_t202" style="position:absolute;margin-left:74pt;margin-top:396.5pt;width:64.1pt;height:73pt;z-index:251683840;mso-height-percent:200;mso-height-percent:200;mso-width-relative:margin;mso-height-relative:margin">
            <v:textbox style="mso-next-textbox:#_x0000_s1051;mso-fit-shape-to-text:t">
              <w:txbxContent>
                <w:p w:rsidR="00BC126C" w:rsidRPr="00BC126C" w:rsidRDefault="00BC126C" w:rsidP="00BC126C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sz w:val="20"/>
                      <w:szCs w:val="20"/>
                    </w:rPr>
                    <w:t>大陸委員會透過香港事務局或澳門事務處</w:t>
                  </w:r>
                  <w:r w:rsidRPr="00BC126C">
                    <w:rPr>
                      <w:rFonts w:ascii="新細明體" w:hAnsi="新細明體" w:hint="eastAsia"/>
                      <w:sz w:val="20"/>
                      <w:szCs w:val="20"/>
                    </w:rPr>
                    <w:t>協處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50" type="#_x0000_t202" style="position:absolute;margin-left:72.4pt;margin-top:307.3pt;width:64.5pt;height:60pt;z-index:251682816;mso-height-percent:200;mso-height-percent:200;mso-width-relative:margin;mso-height-relative:margin">
            <v:textbox style="mso-next-textbox:#_x0000_s1050;mso-fit-shape-to-text:t">
              <w:txbxContent>
                <w:p w:rsidR="00BC126C" w:rsidRPr="00BC126C" w:rsidRDefault="007C313B" w:rsidP="00BC126C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0D2CDA">
                    <w:rPr>
                      <w:rFonts w:hint="eastAsia"/>
                      <w:sz w:val="20"/>
                      <w:szCs w:val="20"/>
                    </w:rPr>
                    <w:t>衛生福利部</w:t>
                  </w:r>
                  <w:r w:rsidR="00BC126C" w:rsidRPr="00BC126C">
                    <w:rPr>
                      <w:rFonts w:hint="eastAsia"/>
                      <w:sz w:val="20"/>
                      <w:szCs w:val="20"/>
                    </w:rPr>
                    <w:t>函知大陸委員會協處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57" type="#_x0000_t202" style="position:absolute;margin-left:8.6pt;margin-top:612.3pt;width:57pt;height:73pt;z-index:251689984;mso-height-percent:200;mso-height-percent:200;mso-width-relative:margin;mso-height-relative:margin">
            <v:textbox style="mso-next-textbox:#_x0000_s1057;mso-fit-shape-to-text:t">
              <w:txbxContent>
                <w:p w:rsidR="00EB447E" w:rsidRPr="00EB447E" w:rsidRDefault="00EB447E" w:rsidP="00EB447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EB447E">
                    <w:rPr>
                      <w:sz w:val="20"/>
                      <w:szCs w:val="20"/>
                    </w:rPr>
                    <w:t>財團法人海峽交流基金會</w:t>
                  </w:r>
                  <w:r w:rsidRPr="00EB447E">
                    <w:rPr>
                      <w:rFonts w:hint="eastAsia"/>
                      <w:sz w:val="20"/>
                      <w:szCs w:val="20"/>
                    </w:rPr>
                    <w:t>轉交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衛生福利部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56" type="#_x0000_t202" style="position:absolute;margin-left:8.6pt;margin-top:500.55pt;width:56.65pt;height:86pt;z-index:251688960;mso-height-percent:200;mso-height-percent:200;mso-width-relative:margin;mso-height-relative:margin">
            <v:textbox style="mso-next-textbox:#_x0000_s1056;mso-fit-shape-to-text:t">
              <w:txbxContent>
                <w:p w:rsidR="00EB447E" w:rsidRPr="00EB447E" w:rsidRDefault="00EB447E" w:rsidP="00EB447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海峽兩岸關係協會</w:t>
                  </w:r>
                  <w:r w:rsidRPr="00EB447E">
                    <w:rPr>
                      <w:rFonts w:hint="eastAsia"/>
                      <w:sz w:val="20"/>
                      <w:szCs w:val="20"/>
                    </w:rPr>
                    <w:t>將結果回覆</w:t>
                  </w:r>
                  <w:r w:rsidRPr="00EB447E">
                    <w:rPr>
                      <w:sz w:val="20"/>
                      <w:szCs w:val="20"/>
                    </w:rPr>
                    <w:t>財團法人海峽交流基金會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00" type="#_x0000_t32" style="position:absolute;margin-left:37.6pt;margin-top:481.65pt;width:0;height:18.5pt;z-index:251732992" o:connectortype="straight">
            <v:stroke endarrow="block"/>
          </v:shape>
        </w:pict>
      </w:r>
      <w:r w:rsidR="00484E16">
        <w:rPr>
          <w:noProof/>
        </w:rPr>
        <w:pict>
          <v:shape id="_x0000_s1055" type="#_x0000_t202" style="position:absolute;margin-left:9.7pt;margin-top:396.5pt;width:57.45pt;height:85.15pt;z-index:251687936;mso-width-relative:margin;mso-height-relative:margin">
            <v:textbox style="mso-next-textbox:#_x0000_s1055">
              <w:txbxContent>
                <w:p w:rsidR="00EB447E" w:rsidRPr="00EB447E" w:rsidRDefault="00EB447E" w:rsidP="00EB447E">
                  <w:pPr>
                    <w:snapToGri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447E">
                    <w:rPr>
                      <w:sz w:val="20"/>
                      <w:szCs w:val="20"/>
                    </w:rPr>
                    <w:t>財團法人海峽交流基金會</w:t>
                  </w:r>
                  <w:r w:rsidRPr="00EB447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轉請海峽兩岸關係協會協處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03" type="#_x0000_t32" style="position:absolute;margin-left:37.6pt;margin-top:380.3pt;width:0;height:16.2pt;z-index:251736064" o:connectortype="straight">
            <v:stroke endarrow="block"/>
          </v:shape>
        </w:pict>
      </w:r>
      <w:r w:rsidR="00484E16">
        <w:rPr>
          <w:noProof/>
        </w:rPr>
        <w:pict>
          <v:shape id="_x0000_s1054" type="#_x0000_t202" style="position:absolute;margin-left:9.4pt;margin-top:306.75pt;width:57.7pt;height:73pt;z-index:251686912;mso-height-percent:200;mso-height-percent:200;mso-width-relative:margin;mso-height-relative:margin">
            <v:textbox style="mso-next-textbox:#_x0000_s1054;mso-fit-shape-to-text:t">
              <w:txbxContent>
                <w:p w:rsidR="00EB447E" w:rsidRPr="00EB447E" w:rsidRDefault="007C313B" w:rsidP="00EB447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0D2CDA">
                    <w:rPr>
                      <w:rFonts w:hint="eastAsia"/>
                      <w:sz w:val="20"/>
                      <w:szCs w:val="20"/>
                    </w:rPr>
                    <w:t>衛生福利部</w:t>
                  </w:r>
                  <w:r w:rsidR="00EB447E" w:rsidRPr="00EB447E">
                    <w:rPr>
                      <w:rFonts w:hint="eastAsia"/>
                      <w:sz w:val="20"/>
                      <w:szCs w:val="20"/>
                    </w:rPr>
                    <w:t>函知</w:t>
                  </w:r>
                  <w:r w:rsidR="00EB447E" w:rsidRPr="00EB447E">
                    <w:rPr>
                      <w:sz w:val="20"/>
                      <w:szCs w:val="20"/>
                    </w:rPr>
                    <w:t>財團法人海峽交流基金會</w:t>
                  </w:r>
                  <w:r w:rsidR="00EB447E" w:rsidRPr="00EB447E">
                    <w:rPr>
                      <w:rFonts w:hint="eastAsia"/>
                      <w:sz w:val="20"/>
                      <w:szCs w:val="20"/>
                    </w:rPr>
                    <w:t>協處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06" type="#_x0000_t32" style="position:absolute;margin-left:37.6pt;margin-top:289.7pt;width:0;height:17.05pt;z-index:251739136" o:connectortype="straight">
            <v:stroke endarrow="block"/>
          </v:shape>
        </w:pict>
      </w:r>
      <w:r w:rsidR="00484E16">
        <w:rPr>
          <w:noProof/>
        </w:rPr>
        <w:pict>
          <v:shape id="_x0000_s1088" type="#_x0000_t32" style="position:absolute;margin-left:311.8pt;margin-top:183.1pt;width:.05pt;height:27.45pt;z-index:251720704" o:connectortype="straight">
            <v:stroke endarrow="block"/>
          </v:shape>
        </w:pict>
      </w:r>
      <w:r w:rsidR="00484E16">
        <w:rPr>
          <w:noProof/>
        </w:rPr>
        <w:pict>
          <v:shape id="_x0000_s1030" type="#_x0000_t202" style="position:absolute;margin-left:9pt;margin-top:158.5pt;width:249.4pt;height:24.6pt;z-index:251662336;mso-width-relative:margin;mso-height-relative:margin">
            <v:textbox style="mso-next-textbox:#_x0000_s1030">
              <w:txbxContent>
                <w:p w:rsidR="00AC70C5" w:rsidRPr="00EB447E" w:rsidRDefault="00AC70C5" w:rsidP="00AC70C5">
                  <w:pPr>
                    <w:jc w:val="distribute"/>
                    <w:rPr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sz w:val="20"/>
                      <w:szCs w:val="20"/>
                    </w:rPr>
                    <w:t>該未成年子女已出境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99" type="#_x0000_t32" style="position:absolute;margin-left:173.8pt;margin-top:561.1pt;width:.6pt;height:50.85pt;flip:x;z-index:251731968" o:connectortype="straight">
            <v:stroke endarrow="block"/>
          </v:shape>
        </w:pict>
      </w:r>
      <w:r w:rsidR="00484E16">
        <w:rPr>
          <w:noProof/>
        </w:rPr>
        <w:pict>
          <v:shape id="_x0000_s1098" type="#_x0000_t32" style="position:absolute;margin-left:104.8pt;margin-top:574.1pt;width:.05pt;height:37.9pt;z-index:251730944" o:connectortype="straight">
            <v:stroke endarrow="block"/>
          </v:shape>
        </w:pict>
      </w:r>
      <w:r w:rsidR="00484E16">
        <w:rPr>
          <w:noProof/>
        </w:rPr>
        <w:pict>
          <v:shape id="_x0000_s1090" type="#_x0000_t32" style="position:absolute;margin-left:173.8pt;margin-top:183.1pt;width:0;height:11.45pt;z-index:251722752" o:connectortype="straight"/>
        </w:pict>
      </w:r>
      <w:r w:rsidR="00484E16">
        <w:rPr>
          <w:noProof/>
        </w:rPr>
        <w:pict>
          <v:shape id="_x0000_s1053" type="#_x0000_t202" style="position:absolute;margin-left:74.4pt;margin-top:612pt;width:64.7pt;height:47.55pt;z-index:251685888;mso-width-relative:margin;mso-height-relative:margin">
            <v:textbox style="mso-next-textbox:#_x0000_s1053">
              <w:txbxContent>
                <w:p w:rsidR="00BC126C" w:rsidRPr="00BC126C" w:rsidRDefault="00BC126C" w:rsidP="00BC126C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sz w:val="20"/>
                      <w:szCs w:val="20"/>
                    </w:rPr>
                    <w:t>大陸委員會轉交衛生福利部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49" type="#_x0000_t202" style="position:absolute;margin-left:144.15pt;margin-top:611.95pt;width:62.25pt;height:47.6pt;z-index:251681792;mso-width-relative:margin;mso-height-relative:margin">
            <v:textbox style="mso-next-textbox:#_x0000_s1049">
              <w:txbxContent>
                <w:p w:rsidR="00BC126C" w:rsidRPr="00BC126C" w:rsidRDefault="00BC126C" w:rsidP="00BC126C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sz w:val="20"/>
                      <w:szCs w:val="20"/>
                    </w:rPr>
                    <w:t>外交部</w:t>
                  </w:r>
                  <w:r w:rsidRPr="00BC126C">
                    <w:rPr>
                      <w:rFonts w:hint="eastAsia"/>
                      <w:kern w:val="0"/>
                      <w:sz w:val="20"/>
                      <w:szCs w:val="20"/>
                    </w:rPr>
                    <w:t>轉交</w:t>
                  </w:r>
                  <w:r w:rsidRPr="00BC126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衛生福利部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115" type="#_x0000_t32" style="position:absolute;margin-left:104.8pt;margin-top:194.55pt;width:0;height:16.4pt;z-index:251748352" o:connectortype="straight">
            <v:stroke endarrow="block"/>
          </v:shape>
        </w:pict>
      </w:r>
      <w:r w:rsidR="00484E16">
        <w:rPr>
          <w:noProof/>
        </w:rPr>
        <w:pict>
          <v:shape id="_x0000_s1114" type="#_x0000_t32" style="position:absolute;margin-left:236.8pt;margin-top:194.55pt;width:0;height:14.7pt;z-index:251747328" o:connectortype="straight">
            <v:stroke endarrow="block"/>
          </v:shape>
        </w:pict>
      </w:r>
      <w:r w:rsidR="00484E16">
        <w:rPr>
          <w:noProof/>
        </w:rPr>
        <w:pict>
          <v:shape id="_x0000_s1113" type="#_x0000_t32" style="position:absolute;margin-left:104.8pt;margin-top:194.55pt;width:131.4pt;height:0;z-index:251746304" o:connectortype="straight"/>
        </w:pict>
      </w:r>
      <w:r w:rsidR="00484E16">
        <w:rPr>
          <w:noProof/>
        </w:rPr>
        <w:pict>
          <v:shape id="_x0000_s1112" type="#_x0000_t32" style="position:absolute;margin-left:174.4pt;margin-top:236.9pt;width:0;height:19.6pt;z-index:251745280" o:connectortype="straight">
            <v:stroke endarrow="block"/>
          </v:shape>
        </w:pict>
      </w:r>
      <w:r w:rsidR="00484E16">
        <w:rPr>
          <w:noProof/>
        </w:rPr>
        <w:pict>
          <v:shape id="_x0000_s1111" type="#_x0000_t32" style="position:absolute;margin-left:107.8pt;margin-top:236.9pt;width:0;height:20.1pt;z-index:251744256" o:connectortype="straight">
            <v:stroke endarrow="block"/>
          </v:shape>
        </w:pict>
      </w:r>
      <w:r w:rsidR="00484E16">
        <w:rPr>
          <w:noProof/>
        </w:rPr>
        <w:pict>
          <v:shape id="_x0000_s1110" type="#_x0000_t32" style="position:absolute;margin-left:37.6pt;margin-top:236.9pt;width:0;height:19.6pt;z-index:251743232" o:connectortype="straight">
            <v:stroke endarrow="block"/>
          </v:shape>
        </w:pict>
      </w:r>
      <w:r w:rsidR="00484E16">
        <w:rPr>
          <w:noProof/>
        </w:rPr>
        <w:pict>
          <v:shape id="_x0000_s1102" type="#_x0000_t32" style="position:absolute;margin-left:174.4pt;margin-top:470.65pt;width:0;height:29.9pt;z-index:251735040" o:connectortype="straight">
            <v:stroke endarrow="block"/>
          </v:shape>
        </w:pict>
      </w:r>
      <w:r w:rsidR="00484E16">
        <w:rPr>
          <w:noProof/>
        </w:rPr>
        <w:pict>
          <v:shape id="_x0000_s1097" type="#_x0000_t32" style="position:absolute;margin-left:37.6pt;margin-top:586.15pt;width:0;height:25.8pt;z-index:251729920" o:connectortype="straight">
            <v:stroke endarrow="block"/>
          </v:shape>
        </w:pict>
      </w:r>
      <w:r w:rsidR="00484E16">
        <w:rPr>
          <w:noProof/>
        </w:rPr>
        <w:pict>
          <v:shape id="_x0000_s1042" type="#_x0000_t202" style="position:absolute;margin-left:211.25pt;margin-top:210.95pt;width:47.15pt;height:46.05pt;z-index:251674624;mso-width-relative:margin;mso-height-relative:margin">
            <v:textbox style="mso-next-textbox:#_x0000_s1042">
              <w:txbxContent>
                <w:p w:rsidR="00AC70C5" w:rsidRPr="00EB447E" w:rsidRDefault="00AC70C5" w:rsidP="00EB447E">
                  <w:pPr>
                    <w:snapToGrid w:val="0"/>
                    <w:jc w:val="distribute"/>
                    <w:rPr>
                      <w:sz w:val="20"/>
                      <w:szCs w:val="20"/>
                    </w:rPr>
                  </w:pPr>
                  <w:proofErr w:type="gramStart"/>
                  <w:r w:rsidRPr="00EB447E">
                    <w:rPr>
                      <w:rFonts w:hint="eastAsia"/>
                      <w:sz w:val="20"/>
                      <w:szCs w:val="20"/>
                    </w:rPr>
                    <w:t>繫</w:t>
                  </w:r>
                  <w:proofErr w:type="gramEnd"/>
                  <w:r w:rsidRPr="00EB447E">
                    <w:rPr>
                      <w:rFonts w:hint="eastAsia"/>
                      <w:sz w:val="20"/>
                      <w:szCs w:val="20"/>
                    </w:rPr>
                    <w:t>屬我國司法案件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48" type="#_x0000_t202" style="position:absolute;margin-left:143.35pt;margin-top:500.15pt;width:62.25pt;height:60pt;z-index:251680768;mso-height-percent:200;mso-height-percent:200;mso-width-relative:margin;mso-height-relative:margin">
            <v:textbox style="mso-next-textbox:#_x0000_s1048;mso-fit-shape-to-text:t">
              <w:txbxContent>
                <w:p w:rsidR="00BC126C" w:rsidRPr="00BC126C" w:rsidRDefault="00BC126C" w:rsidP="00BC126C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sz w:val="20"/>
                      <w:szCs w:val="20"/>
                    </w:rPr>
                    <w:t>駐外辦事處</w:t>
                  </w:r>
                  <w:r w:rsidRPr="00BC126C">
                    <w:rPr>
                      <w:rFonts w:hint="eastAsia"/>
                      <w:kern w:val="0"/>
                      <w:sz w:val="20"/>
                      <w:szCs w:val="20"/>
                    </w:rPr>
                    <w:t>將結果回覆</w:t>
                  </w:r>
                  <w:r w:rsidRPr="00BC126C">
                    <w:rPr>
                      <w:rFonts w:hint="eastAsia"/>
                      <w:sz w:val="20"/>
                      <w:szCs w:val="20"/>
                    </w:rPr>
                    <w:t>外交部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52" type="#_x0000_t202" style="position:absolute;margin-left:73.6pt;margin-top:500.15pt;width:64.1pt;height:73pt;z-index:251684864;mso-height-percent:200;mso-height-percent:200;mso-width-relative:margin;mso-height-relative:margin">
            <v:textbox style="mso-next-textbox:#_x0000_s1052;mso-fit-shape-to-text:t">
              <w:txbxContent>
                <w:p w:rsidR="00BC126C" w:rsidRPr="00BC126C" w:rsidRDefault="00BC126C" w:rsidP="00BC126C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sz w:val="20"/>
                      <w:szCs w:val="20"/>
                    </w:rPr>
                    <w:t>香港事務局或澳門事務處將結果回覆陸委會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47" type="#_x0000_t202" style="position:absolute;margin-left:143.35pt;margin-top:372.95pt;width:62.25pt;height:97.7pt;z-index:251679744;mso-width-relative:margin;mso-height-relative:margin">
            <v:textbox style="mso-next-textbox:#_x0000_s1047">
              <w:txbxContent>
                <w:p w:rsidR="00BC126C" w:rsidRPr="00BC126C" w:rsidRDefault="00BC126C" w:rsidP="00BC126C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sz w:val="20"/>
                      <w:szCs w:val="20"/>
                    </w:rPr>
                    <w:t>外交部透過各駐外辦事處</w:t>
                  </w:r>
                  <w:r w:rsidRPr="00BC126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BC126C">
                    <w:rPr>
                      <w:rFonts w:hint="eastAsia"/>
                      <w:sz w:val="20"/>
                      <w:szCs w:val="20"/>
                    </w:rPr>
                    <w:t>或委請我國在當地之民間團體</w:t>
                  </w:r>
                  <w:r w:rsidRPr="00BC126C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BC126C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 協處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43" type="#_x0000_t202" style="position:absolute;margin-left:141.5pt;margin-top:256.5pt;width:64.1pt;height:33.2pt;z-index:251675648;mso-width-relative:margin;mso-height-relative:margin">
            <v:textbox style="mso-next-textbox:#_x0000_s1043">
              <w:txbxContent>
                <w:p w:rsidR="00AC70C5" w:rsidRPr="00BC126C" w:rsidRDefault="00AC70C5" w:rsidP="00BC126C">
                  <w:pPr>
                    <w:snapToGri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入境其他國家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44" type="#_x0000_t202" style="position:absolute;margin-left:72.4pt;margin-top:256.5pt;width:64.7pt;height:33.2pt;z-index:251676672;mso-width-relative:margin;mso-height-relative:margin">
            <v:textbox style="mso-next-textbox:#_x0000_s1044">
              <w:txbxContent>
                <w:p w:rsidR="00AC70C5" w:rsidRPr="00BC126C" w:rsidRDefault="00AC70C5" w:rsidP="00BC126C">
                  <w:pPr>
                    <w:snapToGrid w:val="0"/>
                    <w:jc w:val="distribute"/>
                    <w:rPr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sz w:val="20"/>
                      <w:szCs w:val="20"/>
                    </w:rPr>
                    <w:t>入境香港或澳門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45" type="#_x0000_t202" style="position:absolute;margin-left:9pt;margin-top:256.5pt;width:59.1pt;height:32.8pt;z-index:251677696;mso-width-relative:margin;mso-height-relative:margin">
            <v:textbox style="mso-next-textbox:#_x0000_s1045">
              <w:txbxContent>
                <w:p w:rsidR="00AC70C5" w:rsidRPr="00BC126C" w:rsidRDefault="00AC70C5" w:rsidP="00AC70C5">
                  <w:pPr>
                    <w:snapToGri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BC126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入境大陸地區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41" type="#_x0000_t202" style="position:absolute;margin-left:8.6pt;margin-top:210.55pt;width:196.6pt;height:25.95pt;z-index:251673600;mso-height-percent:200;mso-height-percent:200;mso-width-relative:margin;mso-height-relative:margin">
            <v:textbox style="mso-next-textbox:#_x0000_s1041;mso-fit-shape-to-text:t">
              <w:txbxContent>
                <w:p w:rsidR="00AC70C5" w:rsidRPr="00EB447E" w:rsidRDefault="00AC70C5" w:rsidP="00AC70C5">
                  <w:pPr>
                    <w:jc w:val="distribute"/>
                    <w:rPr>
                      <w:sz w:val="20"/>
                      <w:szCs w:val="20"/>
                    </w:rPr>
                  </w:pPr>
                  <w:r w:rsidRPr="00EB447E">
                    <w:rPr>
                      <w:rFonts w:hint="eastAsia"/>
                      <w:sz w:val="20"/>
                      <w:szCs w:val="20"/>
                    </w:rPr>
                    <w:t>非</w:t>
                  </w:r>
                  <w:proofErr w:type="gramStart"/>
                  <w:r w:rsidRPr="00EB447E">
                    <w:rPr>
                      <w:rFonts w:hint="eastAsia"/>
                      <w:sz w:val="20"/>
                      <w:szCs w:val="20"/>
                    </w:rPr>
                    <w:t>繫</w:t>
                  </w:r>
                  <w:proofErr w:type="gramEnd"/>
                  <w:r w:rsidRPr="00EB447E">
                    <w:rPr>
                      <w:rFonts w:hint="eastAsia"/>
                      <w:sz w:val="20"/>
                      <w:szCs w:val="20"/>
                    </w:rPr>
                    <w:t>屬我國司法案件</w:t>
                  </w:r>
                </w:p>
              </w:txbxContent>
            </v:textbox>
          </v:shape>
        </w:pict>
      </w:r>
      <w:r w:rsidR="00484E16">
        <w:rPr>
          <w:noProof/>
        </w:rPr>
        <w:pict>
          <v:shape id="_x0000_s1095" type="#_x0000_t32" style="position:absolute;margin-left:357.7pt;margin-top:135.15pt;width:.05pt;height:22.8pt;z-index:251727872" o:connectortype="straight">
            <v:stroke endarrow="block"/>
          </v:shape>
        </w:pict>
      </w:r>
      <w:r w:rsidR="00484E16">
        <w:rPr>
          <w:noProof/>
        </w:rPr>
        <w:pict>
          <v:shape id="_x0000_s1094" type="#_x0000_t32" style="position:absolute;margin-left:113.2pt;margin-top:135.15pt;width:0;height:22.45pt;z-index:251726848" o:connectortype="straight">
            <v:stroke endarrow="block"/>
          </v:shape>
        </w:pict>
      </w:r>
      <w:r w:rsidR="00484E16">
        <w:rPr>
          <w:noProof/>
        </w:rPr>
        <w:pict>
          <v:shape id="_x0000_s1093" type="#_x0000_t32" style="position:absolute;margin-left:113.2pt;margin-top:135.15pt;width:244.55pt;height:0;z-index:251725824" o:connectortype="straight"/>
        </w:pict>
      </w:r>
    </w:p>
    <w:sectPr w:rsidR="007F1249" w:rsidRPr="000D2CDA" w:rsidSect="000D2CDA">
      <w:pgSz w:w="11906" w:h="16838"/>
      <w:pgMar w:top="993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0F" w:rsidRDefault="00C4610F" w:rsidP="00DB6E0B">
      <w:r>
        <w:separator/>
      </w:r>
    </w:p>
  </w:endnote>
  <w:endnote w:type="continuationSeparator" w:id="0">
    <w:p w:rsidR="00C4610F" w:rsidRDefault="00C4610F" w:rsidP="00DB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0F" w:rsidRDefault="00C4610F" w:rsidP="00DB6E0B">
      <w:r>
        <w:separator/>
      </w:r>
    </w:p>
  </w:footnote>
  <w:footnote w:type="continuationSeparator" w:id="0">
    <w:p w:rsidR="00C4610F" w:rsidRDefault="00C4610F" w:rsidP="00DB6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CDA"/>
    <w:rsid w:val="00031BFD"/>
    <w:rsid w:val="000D2CDA"/>
    <w:rsid w:val="00106C36"/>
    <w:rsid w:val="00113F6A"/>
    <w:rsid w:val="00196F6F"/>
    <w:rsid w:val="00454EC5"/>
    <w:rsid w:val="00484E16"/>
    <w:rsid w:val="00523C62"/>
    <w:rsid w:val="0055640D"/>
    <w:rsid w:val="007A2130"/>
    <w:rsid w:val="007C313B"/>
    <w:rsid w:val="007D0DBB"/>
    <w:rsid w:val="007F1249"/>
    <w:rsid w:val="00A57B48"/>
    <w:rsid w:val="00AC70C5"/>
    <w:rsid w:val="00B207EB"/>
    <w:rsid w:val="00B3465A"/>
    <w:rsid w:val="00BC126C"/>
    <w:rsid w:val="00BF3A8A"/>
    <w:rsid w:val="00C4610F"/>
    <w:rsid w:val="00C7095C"/>
    <w:rsid w:val="00CB1B0A"/>
    <w:rsid w:val="00CD739F"/>
    <w:rsid w:val="00D46A23"/>
    <w:rsid w:val="00D71FA4"/>
    <w:rsid w:val="00DB6E0B"/>
    <w:rsid w:val="00E83128"/>
    <w:rsid w:val="00EA655A"/>
    <w:rsid w:val="00EB447E"/>
    <w:rsid w:val="00EF40C3"/>
    <w:rsid w:val="00F71576"/>
    <w:rsid w:val="00FB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7" type="connector" idref="#_x0000_s1067"/>
        <o:r id="V:Rule38" type="connector" idref="#_x0000_s1089"/>
        <o:r id="V:Rule39" type="connector" idref="#_x0000_s1114"/>
        <o:r id="V:Rule40" type="connector" idref="#_x0000_s1119"/>
        <o:r id="V:Rule41" type="connector" idref="#_x0000_s1107"/>
        <o:r id="V:Rule42" type="connector" idref="#_x0000_s1063"/>
        <o:r id="V:Rule43" type="connector" idref="#_x0000_s1103"/>
        <o:r id="V:Rule44" type="connector" idref="#_x0000_s1106"/>
        <o:r id="V:Rule45" type="connector" idref="#_x0000_s1088"/>
        <o:r id="V:Rule46" type="connector" idref="#_x0000_s1112"/>
        <o:r id="V:Rule47" type="connector" idref="#_x0000_s1097"/>
        <o:r id="V:Rule48" type="connector" idref="#_x0000_s1064"/>
        <o:r id="V:Rule49" type="connector" idref="#_x0000_s1060"/>
        <o:r id="V:Rule50" type="connector" idref="#_x0000_s1111"/>
        <o:r id="V:Rule51" type="connector" idref="#_x0000_s1110"/>
        <o:r id="V:Rule52" type="connector" idref="#_x0000_s1093"/>
        <o:r id="V:Rule53" type="connector" idref="#_x0000_s1105"/>
        <o:r id="V:Rule54" type="connector" idref="#_x0000_s1090"/>
        <o:r id="V:Rule55" type="connector" idref="#_x0000_s1117"/>
        <o:r id="V:Rule56" type="connector" idref="#_x0000_s1099"/>
        <o:r id="V:Rule57" type="connector" idref="#_x0000_s1102"/>
        <o:r id="V:Rule58" type="connector" idref="#_x0000_s1062"/>
        <o:r id="V:Rule59" type="connector" idref="#_x0000_s1113"/>
        <o:r id="V:Rule60" type="connector" idref="#_x0000_s1098"/>
        <o:r id="V:Rule61" type="connector" idref="#_x0000_s1115"/>
        <o:r id="V:Rule62" type="connector" idref="#_x0000_s1095"/>
        <o:r id="V:Rule63" type="connector" idref="#_x0000_s1108"/>
        <o:r id="V:Rule64" type="connector" idref="#_x0000_s1096"/>
        <o:r id="V:Rule65" type="connector" idref="#_x0000_s1104"/>
        <o:r id="V:Rule66" type="connector" idref="#_x0000_s1109"/>
        <o:r id="V:Rule67" type="connector" idref="#_x0000_s1094"/>
        <o:r id="V:Rule68" type="connector" idref="#_x0000_s1065"/>
        <o:r id="V:Rule69" type="connector" idref="#_x0000_s1066"/>
        <o:r id="V:Rule70" type="connector" idref="#_x0000_s1061"/>
        <o:r id="V:Rule71" type="connector" idref="#_x0000_s1101"/>
        <o:r id="V:Rule72" type="connector" idref="#_x0000_s1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31BFD"/>
    <w:pPr>
      <w:widowControl/>
    </w:pPr>
    <w:rPr>
      <w:rFonts w:ascii="Calibri" w:eastAsia="新細明體" w:hAnsi="Courier New" w:cs="Courier New"/>
      <w:kern w:val="0"/>
      <w:szCs w:val="24"/>
    </w:rPr>
  </w:style>
  <w:style w:type="character" w:customStyle="1" w:styleId="a4">
    <w:name w:val="純文字 字元"/>
    <w:basedOn w:val="a0"/>
    <w:link w:val="a3"/>
    <w:uiPriority w:val="99"/>
    <w:rsid w:val="00031BFD"/>
    <w:rPr>
      <w:rFonts w:ascii="Calibri" w:eastAsia="新細明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6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6E0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6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6E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</dc:creator>
  <cp:lastModifiedBy>lelia</cp:lastModifiedBy>
  <cp:revision>11</cp:revision>
  <cp:lastPrinted>2014-01-15T02:26:00Z</cp:lastPrinted>
  <dcterms:created xsi:type="dcterms:W3CDTF">2014-01-07T05:45:00Z</dcterms:created>
  <dcterms:modified xsi:type="dcterms:W3CDTF">2014-01-16T08:06:00Z</dcterms:modified>
</cp:coreProperties>
</file>