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spacing w:lineRule="exact" w:line="48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臺灣臺北地方檢察署</w:t>
      </w:r>
    </w:p>
    <w:p>
      <w:pPr>
        <w:pStyle w:val="Normal"/>
        <w:spacing w:lineRule="exact" w:line="48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檢察官（含檢察事務官）準時開庭調查統計分析表</w:t>
      </w:r>
    </w:p>
    <w:p>
      <w:pPr>
        <w:pStyle w:val="Normal"/>
        <w:spacing w:lineRule="exact" w:line="480"/>
        <w:jc w:val="center"/>
        <w:rPr/>
      </w:pPr>
      <w:r>
        <w:rPr>
          <w:rFonts w:ascii="標楷體" w:hAnsi="標楷體" w:eastAsia="標楷體"/>
          <w:b/>
          <w:sz w:val="32"/>
          <w:szCs w:val="32"/>
        </w:rPr>
        <w:t>(</w:t>
      </w:r>
      <w:r>
        <w:rPr>
          <w:rFonts w:ascii="標楷體" w:hAnsi="標楷體" w:eastAsia="標楷體"/>
          <w:b/>
          <w:sz w:val="32"/>
          <w:szCs w:val="32"/>
        </w:rPr>
        <w:t>統計期間：</w:t>
      </w:r>
      <w:r>
        <w:rPr>
          <w:rFonts w:eastAsia="標楷體" w:ascii="標楷體" w:hAnsi="標楷體"/>
          <w:b/>
          <w:sz w:val="32"/>
          <w:szCs w:val="32"/>
        </w:rPr>
        <w:t>108</w:t>
      </w:r>
      <w:r>
        <w:rPr>
          <w:rFonts w:ascii="標楷體" w:hAnsi="標楷體" w:eastAsia="標楷體"/>
          <w:b/>
          <w:sz w:val="32"/>
          <w:szCs w:val="32"/>
        </w:rPr>
        <w:t>年</w:t>
      </w:r>
      <w:r>
        <w:rPr>
          <w:rFonts w:eastAsia="標楷體" w:ascii="標楷體" w:hAnsi="標楷體"/>
          <w:b/>
          <w:sz w:val="32"/>
          <w:szCs w:val="32"/>
        </w:rPr>
        <w:t>10</w:t>
      </w:r>
      <w:r>
        <w:rPr>
          <w:rFonts w:ascii="標楷體" w:hAnsi="標楷體" w:eastAsia="標楷體"/>
          <w:b/>
          <w:sz w:val="32"/>
          <w:szCs w:val="32"/>
        </w:rPr>
        <w:t>月</w:t>
      </w:r>
      <w:r>
        <w:rPr>
          <w:rFonts w:eastAsia="標楷體" w:ascii="標楷體" w:hAnsi="標楷體"/>
          <w:b/>
          <w:sz w:val="32"/>
          <w:szCs w:val="32"/>
        </w:rPr>
        <w:t>1</w:t>
      </w:r>
      <w:r>
        <w:rPr>
          <w:rFonts w:ascii="標楷體" w:hAnsi="標楷體" w:eastAsia="標楷體"/>
          <w:b/>
          <w:sz w:val="32"/>
          <w:szCs w:val="32"/>
        </w:rPr>
        <w:t>日起至</w:t>
      </w:r>
      <w:r>
        <w:rPr>
          <w:rFonts w:eastAsia="標楷體" w:ascii="標楷體" w:hAnsi="標楷體"/>
          <w:b/>
          <w:sz w:val="32"/>
          <w:szCs w:val="32"/>
        </w:rPr>
        <w:t>108</w:t>
      </w:r>
      <w:r>
        <w:rPr>
          <w:rFonts w:ascii="標楷體" w:hAnsi="標楷體" w:eastAsia="標楷體"/>
          <w:b/>
          <w:sz w:val="32"/>
          <w:szCs w:val="32"/>
        </w:rPr>
        <w:t>年</w:t>
      </w:r>
      <w:r>
        <w:rPr>
          <w:rFonts w:eastAsia="標楷體" w:ascii="標楷體" w:hAnsi="標楷體"/>
          <w:b/>
          <w:sz w:val="32"/>
          <w:szCs w:val="32"/>
        </w:rPr>
        <w:t>10</w:t>
      </w:r>
      <w:r>
        <w:rPr>
          <w:rFonts w:ascii="標楷體" w:hAnsi="標楷體" w:eastAsia="標楷體"/>
          <w:b/>
          <w:sz w:val="32"/>
          <w:szCs w:val="32"/>
        </w:rPr>
        <w:t>月</w:t>
      </w:r>
      <w:r>
        <w:rPr>
          <w:rFonts w:eastAsia="標楷體" w:ascii="標楷體" w:hAnsi="標楷體"/>
          <w:b/>
          <w:sz w:val="32"/>
          <w:szCs w:val="32"/>
        </w:rPr>
        <w:t>3</w:t>
      </w:r>
      <w:r>
        <w:rPr>
          <w:rFonts w:eastAsia="標楷體" w:ascii="標楷體" w:hAnsi="標楷體"/>
          <w:b/>
          <w:sz w:val="32"/>
          <w:szCs w:val="32"/>
        </w:rPr>
        <w:t>1</w:t>
      </w:r>
      <w:r>
        <w:rPr>
          <w:rFonts w:ascii="標楷體" w:hAnsi="標楷體" w:eastAsia="標楷體"/>
          <w:b/>
          <w:sz w:val="32"/>
          <w:szCs w:val="32"/>
        </w:rPr>
        <w:t>日止)</w:t>
      </w:r>
    </w:p>
    <w:p>
      <w:pPr>
        <w:pStyle w:val="Normal"/>
        <w:spacing w:lineRule="exact" w:line="44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841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4"/>
        <w:gridCol w:w="1781"/>
        <w:gridCol w:w="1349"/>
        <w:gridCol w:w="1835"/>
        <w:gridCol w:w="1465"/>
      </w:tblGrid>
      <w:tr>
        <w:trPr>
          <w:trHeight w:val="1137" w:hRule="atLeast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exact" w:line="420"/>
              <w:ind w:firstLine="28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開庭總</w:t>
            </w:r>
          </w:p>
          <w:p>
            <w:pPr>
              <w:pStyle w:val="Normal"/>
              <w:snapToGrid w:val="false"/>
              <w:spacing w:lineRule="exact" w:line="420"/>
              <w:ind w:firstLine="28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件  數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第一件案件未能準時開庭百分比</w:t>
            </w:r>
          </w:p>
          <w:p>
            <w:pPr>
              <w:pStyle w:val="Normal"/>
              <w:spacing w:lineRule="exact" w: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第二件至最後一件開庭時間遲延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1</w:t>
            </w:r>
          </w:p>
          <w:p>
            <w:pPr>
              <w:pStyle w:val="Normal"/>
              <w:spacing w:lineRule="exact" w:line="420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20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第二件至最後一件開庭時間遲延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小時以上者之百分比</w:t>
            </w:r>
          </w:p>
        </w:tc>
      </w:tr>
      <w:tr>
        <w:trPr>
          <w:trHeight w:val="2357" w:hRule="atLeast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4733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distribute"/>
              <w:rPr/>
            </w:pPr>
            <w:r>
              <w:rPr>
                <w:rFonts w:eastAsia="標楷體" w:cs="標楷體" w:ascii="標楷體" w:hAnsi="標楷體"/>
                <w:color w:val="000000"/>
              </w:rPr>
              <w:t>27</w:t>
            </w:r>
            <w:r>
              <w:rPr>
                <w:rFonts w:ascii="標楷體" w:hAnsi="標楷體" w:cs="標楷體" w:eastAsia="標楷體"/>
                <w:color w:val="000000"/>
              </w:rPr>
              <w:t>件(未能準時開庭原因：</w:t>
            </w:r>
            <w:r>
              <w:rPr>
                <w:rFonts w:eastAsia="標楷體" w:cs="標楷體" w:ascii="標楷體" w:hAnsi="標楷體"/>
                <w:color w:val="000000"/>
              </w:rPr>
              <w:t>18</w:t>
            </w:r>
            <w:r>
              <w:rPr>
                <w:rFonts w:ascii="標楷體" w:hAnsi="標楷體" w:cs="標楷體" w:eastAsia="標楷體"/>
                <w:color w:val="000000"/>
              </w:rPr>
              <w:t>件為當事人遲到以致開庭延遲，</w:t>
            </w:r>
            <w:r>
              <w:rPr>
                <w:rFonts w:eastAsia="標楷體" w:cs="標楷體" w:ascii="標楷體" w:hAnsi="標楷體"/>
                <w:color w:val="000000"/>
              </w:rPr>
              <w:t>6</w:t>
            </w:r>
            <w:r>
              <w:rPr>
                <w:rFonts w:ascii="標楷體" w:hAnsi="標楷體" w:cs="標楷體" w:eastAsia="標楷體"/>
                <w:color w:val="000000"/>
              </w:rPr>
              <w:t>件為等待提訊人犯致延遲，</w:t>
            </w:r>
            <w:r>
              <w:rPr>
                <w:rFonts w:eastAsia="標楷體" w:cs="標楷體" w:ascii="標楷體" w:hAnsi="標楷體"/>
                <w:color w:val="000000"/>
              </w:rPr>
              <w:t>1</w:t>
            </w:r>
            <w:r>
              <w:rPr>
                <w:rFonts w:ascii="標楷體" w:hAnsi="標楷體" w:cs="標楷體" w:eastAsia="標楷體"/>
                <w:color w:val="000000"/>
              </w:rPr>
              <w:t>件為</w:t>
            </w:r>
            <w:r>
              <w:rPr>
                <w:rFonts w:ascii="標楷體" w:hAnsi="標楷體" w:cs="標楷體" w:eastAsia="標楷體"/>
              </w:rPr>
              <w:t>由分局帶被到署致遲延、</w:t>
            </w:r>
            <w:r>
              <w:rPr>
                <w:rFonts w:eastAsia="標楷體" w:cs="標楷體" w:ascii="標楷體" w:hAnsi="標楷體"/>
              </w:rPr>
              <w:t>1</w:t>
            </w:r>
            <w:r>
              <w:rPr>
                <w:rFonts w:ascii="標楷體" w:hAnsi="標楷體" w:cs="標楷體" w:eastAsia="標楷體"/>
              </w:rPr>
              <w:t>件為待台中分監視訊致遲延、</w:t>
            </w:r>
            <w:r>
              <w:rPr>
                <w:rFonts w:eastAsia="標楷體" w:cs="標楷體" w:ascii="標楷體" w:hAnsi="標楷體"/>
              </w:rPr>
              <w:t>1</w:t>
            </w:r>
            <w:r>
              <w:rPr>
                <w:rFonts w:ascii="標楷體" w:hAnsi="標楷體" w:cs="標楷體" w:eastAsia="標楷體"/>
              </w:rPr>
              <w:t>件為遠距訊問橋頭地檢致遲延</w:t>
            </w:r>
            <w:r>
              <w:rPr>
                <w:rFonts w:ascii="標楷體" w:hAnsi="標楷體" w:cs="標楷體" w:eastAsia="標楷體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120"/>
              <w:jc w:val="center"/>
              <w:rPr/>
            </w:pPr>
            <w:r>
              <w:rPr>
                <w:color w:val="000000"/>
              </w:rPr>
              <w:t>0.57%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80"/>
              <w:jc w:val="distribute"/>
              <w:rPr/>
            </w:pPr>
            <w:r>
              <w:rPr>
                <w:rFonts w:eastAsia="標楷體" w:cs="標楷體" w:ascii="標楷體" w:hAnsi="標楷體"/>
                <w:color w:val="000000"/>
              </w:rPr>
              <w:t>108</w:t>
            </w:r>
            <w:r>
              <w:rPr>
                <w:rFonts w:ascii="標楷體" w:hAnsi="標楷體" w:cs="標楷體" w:eastAsia="標楷體"/>
                <w:color w:val="000000"/>
              </w:rPr>
              <w:t>件(遲延開庭理由:</w:t>
            </w:r>
            <w:r>
              <w:rPr>
                <w:rFonts w:eastAsia="標楷體" w:cs="標楷體" w:ascii="標楷體" w:hAnsi="標楷體"/>
                <w:color w:val="000000"/>
              </w:rPr>
              <w:t>34</w:t>
            </w:r>
            <w:r>
              <w:rPr>
                <w:rFonts w:ascii="標楷體" w:hAnsi="標楷體" w:cs="標楷體" w:eastAsia="標楷體"/>
                <w:color w:val="000000"/>
              </w:rPr>
              <w:t>件為當事人遲到，</w:t>
            </w:r>
            <w:r>
              <w:rPr>
                <w:rFonts w:eastAsia="標楷體" w:cs="標楷體" w:ascii="標楷體" w:hAnsi="標楷體"/>
                <w:color w:val="000000"/>
              </w:rPr>
              <w:t>70</w:t>
            </w:r>
            <w:r>
              <w:rPr>
                <w:rFonts w:ascii="標楷體" w:hAnsi="標楷體" w:cs="標楷體" w:eastAsia="標楷體"/>
                <w:color w:val="000000"/>
              </w:rPr>
              <w:t>件案情複雜，</w:t>
            </w:r>
            <w:r>
              <w:rPr>
                <w:rFonts w:eastAsia="標楷體" w:cs="標楷體" w:ascii="標楷體" w:hAnsi="標楷體"/>
                <w:color w:val="000000"/>
              </w:rPr>
              <w:t>4</w:t>
            </w:r>
            <w:r>
              <w:rPr>
                <w:rFonts w:ascii="標楷體" w:hAnsi="標楷體" w:cs="標楷體" w:eastAsia="標楷體"/>
                <w:color w:val="000000"/>
              </w:rPr>
              <w:t>件為等待提訊人犯遲到致延遲。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2.28%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48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6"/>
          <w:szCs w:val="36"/>
        </w:rPr>
        <w:t>臺灣臺北地方檢察署</w:t>
      </w:r>
    </w:p>
    <w:p>
      <w:pPr>
        <w:pStyle w:val="Normal"/>
        <w:spacing w:lineRule="exact" w:line="48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檢察官（含檢察事務官）開庭態度調查統計分析表</w:t>
      </w:r>
    </w:p>
    <w:p>
      <w:pPr>
        <w:pStyle w:val="Normal"/>
        <w:spacing w:lineRule="exact" w:line="480"/>
        <w:jc w:val="center"/>
        <w:rPr/>
      </w:pPr>
      <w:r>
        <w:rPr>
          <w:rFonts w:ascii="標楷體" w:hAnsi="標楷體" w:eastAsia="標楷體"/>
          <w:b/>
          <w:sz w:val="32"/>
          <w:szCs w:val="32"/>
        </w:rPr>
        <w:t>(</w:t>
      </w:r>
      <w:r>
        <w:rPr>
          <w:rFonts w:ascii="標楷體" w:hAnsi="標楷體" w:eastAsia="標楷體"/>
          <w:b/>
          <w:sz w:val="32"/>
          <w:szCs w:val="32"/>
        </w:rPr>
        <w:t>統計期間：</w:t>
      </w:r>
      <w:r>
        <w:rPr>
          <w:rFonts w:eastAsia="標楷體" w:ascii="標楷體" w:hAnsi="標楷體"/>
          <w:b/>
          <w:sz w:val="32"/>
          <w:szCs w:val="32"/>
        </w:rPr>
        <w:t>108</w:t>
      </w:r>
      <w:r>
        <w:rPr>
          <w:rFonts w:ascii="標楷體" w:hAnsi="標楷體" w:eastAsia="標楷體"/>
          <w:b/>
          <w:sz w:val="32"/>
          <w:szCs w:val="32"/>
        </w:rPr>
        <w:t>年</w:t>
      </w:r>
      <w:r>
        <w:rPr>
          <w:rFonts w:eastAsia="標楷體" w:ascii="標楷體" w:hAnsi="標楷體"/>
          <w:b/>
          <w:sz w:val="32"/>
          <w:szCs w:val="32"/>
        </w:rPr>
        <w:t>10</w:t>
      </w:r>
      <w:r>
        <w:rPr>
          <w:rFonts w:ascii="標楷體" w:hAnsi="標楷體" w:eastAsia="標楷體"/>
          <w:b/>
          <w:sz w:val="32"/>
          <w:szCs w:val="32"/>
        </w:rPr>
        <w:t>月</w:t>
      </w:r>
      <w:r>
        <w:rPr>
          <w:rFonts w:eastAsia="標楷體" w:ascii="標楷體" w:hAnsi="標楷體"/>
          <w:b/>
          <w:sz w:val="32"/>
          <w:szCs w:val="32"/>
        </w:rPr>
        <w:t>1</w:t>
      </w:r>
      <w:r>
        <w:rPr>
          <w:rFonts w:ascii="標楷體" w:hAnsi="標楷體" w:eastAsia="標楷體"/>
          <w:b/>
          <w:sz w:val="32"/>
          <w:szCs w:val="32"/>
        </w:rPr>
        <w:t>日起至</w:t>
      </w:r>
      <w:r>
        <w:rPr>
          <w:rFonts w:eastAsia="標楷體" w:ascii="標楷體" w:hAnsi="標楷體"/>
          <w:b/>
          <w:sz w:val="32"/>
          <w:szCs w:val="32"/>
        </w:rPr>
        <w:t>108</w:t>
      </w:r>
      <w:r>
        <w:rPr>
          <w:rFonts w:ascii="標楷體" w:hAnsi="標楷體" w:eastAsia="標楷體"/>
          <w:b/>
          <w:sz w:val="32"/>
          <w:szCs w:val="32"/>
        </w:rPr>
        <w:t>年</w:t>
      </w:r>
      <w:r>
        <w:rPr>
          <w:rFonts w:eastAsia="標楷體" w:ascii="標楷體" w:hAnsi="標楷體"/>
          <w:b/>
          <w:sz w:val="32"/>
          <w:szCs w:val="32"/>
        </w:rPr>
        <w:t>10</w:t>
      </w:r>
      <w:r>
        <w:rPr>
          <w:rFonts w:ascii="標楷體" w:hAnsi="標楷體" w:eastAsia="標楷體"/>
          <w:b/>
          <w:sz w:val="32"/>
          <w:szCs w:val="32"/>
        </w:rPr>
        <w:t>月</w:t>
      </w:r>
      <w:r>
        <w:rPr>
          <w:rFonts w:eastAsia="標楷體" w:ascii="標楷體" w:hAnsi="標楷體"/>
          <w:b/>
          <w:sz w:val="32"/>
          <w:szCs w:val="32"/>
        </w:rPr>
        <w:t>3</w:t>
      </w:r>
      <w:r>
        <w:rPr>
          <w:rFonts w:eastAsia="標楷體" w:ascii="標楷體" w:hAnsi="標楷體"/>
          <w:b/>
          <w:sz w:val="32"/>
          <w:szCs w:val="32"/>
        </w:rPr>
        <w:t>1</w:t>
      </w:r>
      <w:r>
        <w:rPr>
          <w:rFonts w:ascii="標楷體" w:hAnsi="標楷體" w:eastAsia="標楷體"/>
          <w:b/>
          <w:sz w:val="32"/>
          <w:szCs w:val="32"/>
        </w:rPr>
        <w:t>日止)</w:t>
      </w:r>
    </w:p>
    <w:tbl>
      <w:tblPr>
        <w:tblW w:w="9258" w:type="dxa"/>
        <w:jc w:val="left"/>
        <w:tblInd w:w="-3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5"/>
        <w:gridCol w:w="1642"/>
        <w:gridCol w:w="1561"/>
        <w:gridCol w:w="1522"/>
        <w:gridCol w:w="1581"/>
        <w:gridCol w:w="1049"/>
        <w:gridCol w:w="998"/>
      </w:tblGrid>
      <w:tr>
        <w:trPr>
          <w:trHeight w:val="2779" w:hRule="atLeast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exact" w:line="38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問卷發送總案件數</w:t>
            </w:r>
          </w:p>
          <w:p>
            <w:pPr>
              <w:pStyle w:val="Normal"/>
              <w:snapToGrid w:val="false"/>
              <w:spacing w:lineRule="exact" w:line="38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Ａ)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8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問卷調查結果回收件數</w:t>
            </w:r>
          </w:p>
          <w:p>
            <w:pPr>
              <w:pStyle w:val="Normal"/>
              <w:spacing w:lineRule="exact" w:line="380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Ｂ)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80"/>
              <w:ind w:left="120" w:hanging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問卷調查結果回收</w:t>
            </w:r>
          </w:p>
          <w:p>
            <w:pPr>
              <w:pStyle w:val="Normal"/>
              <w:spacing w:lineRule="exact" w:line="380"/>
              <w:ind w:firstLine="140"/>
              <w:jc w:val="distribute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比率</w:t>
            </w:r>
          </w:p>
          <w:p>
            <w:pPr>
              <w:pStyle w:val="Normal"/>
              <w:spacing w:lineRule="exact" w:line="380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Ｂ/Ａ)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80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問卷調查結果認為開庭態度不佳之件數</w:t>
            </w:r>
          </w:p>
          <w:p>
            <w:pPr>
              <w:pStyle w:val="Normal"/>
              <w:spacing w:lineRule="exact" w:line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民眾以檢察長電子信箱或投書方式認為開庭態度不佳之</w:t>
            </w:r>
          </w:p>
          <w:p>
            <w:pPr>
              <w:pStyle w:val="Normal"/>
              <w:widowControl/>
              <w:spacing w:lineRule="exact" w:line="380"/>
              <w:ind w:firstLine="140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件數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抽查問案態度</w:t>
            </w:r>
          </w:p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之件</w:t>
            </w:r>
          </w:p>
          <w:p>
            <w:pPr>
              <w:pStyle w:val="Normal"/>
              <w:spacing w:lineRule="exact" w:line="380"/>
              <w:ind w:firstLine="140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數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80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經抽查結果認為態度不佳之件數</w:t>
            </w:r>
          </w:p>
        </w:tc>
      </w:tr>
      <w:tr>
        <w:trPr>
          <w:trHeight w:val="884" w:hRule="atLeast"/>
        </w:trPr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240"/>
              <w:jc w:val="center"/>
              <w:rPr/>
            </w:pPr>
            <w:r>
              <w:rPr/>
              <w:t>75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120"/>
              <w:jc w:val="center"/>
              <w:rPr/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.5 %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120"/>
              <w:jc w:val="center"/>
              <w:rPr/>
            </w:pPr>
            <w:r>
              <w:rPr/>
              <w:t>0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120"/>
              <w:jc w:val="center"/>
              <w:rPr/>
            </w:pPr>
            <w:r>
              <w:rPr/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</w:tr>
    </w:tbl>
    <w:p>
      <w:pPr>
        <w:pStyle w:val="Normal"/>
        <w:spacing w:lineRule="exact" w:line="420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800" w:right="1800" w:header="0" w:top="1440" w:footer="992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標楷體">
    <w:charset w:val="88"/>
    <w:family w:val="script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8051225"/>
    </w:sdtPr>
    <w:sdtContent>
      <w:p>
        <w:pPr>
          <w:pStyle w:val="Style22"/>
          <w:jc w:val="center"/>
          <w:rPr/>
        </w:pPr>
        <w:r>
          <w:rPr>
            <w:lang w:val="zh-TW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1e9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c12da1"/>
    <w:rPr>
      <w:rFonts w:ascii="Times New Roman" w:hAnsi="Times New Roman" w:eastAsia="新細明體" w:cs="Times New Roman"/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qFormat/>
    <w:rsid w:val="00c12da1"/>
    <w:rPr>
      <w:rFonts w:ascii="Times New Roman" w:hAnsi="Times New Roman" w:eastAsia="新細明體" w:cs="Times New Roman"/>
      <w:sz w:val="20"/>
      <w:szCs w:val="20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link w:val="a4"/>
    <w:uiPriority w:val="99"/>
    <w:unhideWhenUsed/>
    <w:rsid w:val="00c12da1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6"/>
    <w:uiPriority w:val="99"/>
    <w:unhideWhenUsed/>
    <w:rsid w:val="00c12da1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DB40-D1A8-4CF5-A0C7-268E9CA9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NDC_ODF_Application_Tools/1.0.3$Windows_X86_64 LibreOffice_project/8ad3e16aadc5e73175a2d44b1abec8638aa18880</Application>
  <Pages>2</Pages>
  <Words>427</Words>
  <Characters>466</Characters>
  <CharactersWithSpaces>469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2019-10-17T02:38:00Z</dcterms:created>
  <dc:creator>yang8020</dc:creator>
  <dc:description/>
  <dc:language>zh-TW</dc:language>
  <cp:lastModifiedBy/>
  <dcterms:modified xsi:type="dcterms:W3CDTF">2019-11-11T16:31:21Z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